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13965" w14:textId="605FA995" w:rsidR="006E6645" w:rsidRPr="0035065F" w:rsidRDefault="006E6645" w:rsidP="006E6645">
      <w:pPr>
        <w:pStyle w:val="3GPPHeader"/>
        <w:spacing w:after="60"/>
        <w:rPr>
          <w:sz w:val="32"/>
          <w:szCs w:val="32"/>
        </w:rPr>
      </w:pPr>
      <w:bookmarkStart w:id="0" w:name="_GoBack"/>
      <w:bookmarkEnd w:id="0"/>
      <w:r w:rsidRPr="0035065F">
        <w:t>3GPP TSG-RAN WG2 #101</w:t>
      </w:r>
      <w:r w:rsidRPr="0035065F">
        <w:tab/>
      </w:r>
      <w:r w:rsidRPr="0035065F">
        <w:rPr>
          <w:sz w:val="32"/>
          <w:szCs w:val="32"/>
        </w:rPr>
        <w:t>Tdoc R2-18</w:t>
      </w:r>
      <w:r w:rsidR="008F4110" w:rsidRPr="0035065F">
        <w:rPr>
          <w:sz w:val="32"/>
          <w:szCs w:val="32"/>
        </w:rPr>
        <w:t>03193</w:t>
      </w:r>
    </w:p>
    <w:p w14:paraId="72D3A756" w14:textId="77777777" w:rsidR="006E6645" w:rsidRPr="0035065F" w:rsidRDefault="006E6645" w:rsidP="006E6645">
      <w:pPr>
        <w:pStyle w:val="3GPPHeader"/>
        <w:spacing w:after="60"/>
        <w:rPr>
          <w:b w:val="0"/>
          <w:szCs w:val="24"/>
        </w:rPr>
      </w:pPr>
      <w:r w:rsidRPr="0035065F">
        <w:t>Athens, Greece, 26 Feb - 2 Mar, 2018</w:t>
      </w:r>
      <w:r w:rsidRPr="0035065F">
        <w:rPr>
          <w:szCs w:val="24"/>
        </w:rPr>
        <w:t xml:space="preserve">        </w:t>
      </w:r>
    </w:p>
    <w:p w14:paraId="05DC3D3C" w14:textId="09DA63BE" w:rsidR="00700EF5" w:rsidRPr="0035065F" w:rsidRDefault="00700EF5" w:rsidP="00700EF5">
      <w:pPr>
        <w:pStyle w:val="3GPPHeader"/>
      </w:pPr>
    </w:p>
    <w:p w14:paraId="6D25E788" w14:textId="77777777" w:rsidR="00E90E49" w:rsidRPr="0035065F" w:rsidRDefault="00E90E49" w:rsidP="00357380">
      <w:pPr>
        <w:pStyle w:val="3GPPHeader"/>
      </w:pPr>
    </w:p>
    <w:p w14:paraId="62304A36" w14:textId="7659C03E" w:rsidR="00E90E49" w:rsidRPr="0035065F" w:rsidRDefault="00E90E49" w:rsidP="00311702">
      <w:pPr>
        <w:pStyle w:val="3GPPHeader"/>
        <w:rPr>
          <w:sz w:val="22"/>
          <w:szCs w:val="22"/>
          <w:lang w:val="en-US"/>
        </w:rPr>
      </w:pPr>
      <w:r w:rsidRPr="0035065F">
        <w:rPr>
          <w:sz w:val="22"/>
          <w:szCs w:val="22"/>
          <w:lang w:val="en-US"/>
        </w:rPr>
        <w:t>Agenda Item:</w:t>
      </w:r>
      <w:r w:rsidRPr="0035065F">
        <w:rPr>
          <w:sz w:val="22"/>
          <w:szCs w:val="22"/>
          <w:lang w:val="en-US"/>
        </w:rPr>
        <w:tab/>
      </w:r>
      <w:r w:rsidR="00397FE4" w:rsidRPr="0035065F">
        <w:rPr>
          <w:sz w:val="22"/>
          <w:szCs w:val="22"/>
          <w:lang w:val="en-US"/>
        </w:rPr>
        <w:t>10.3.1.4.</w:t>
      </w:r>
      <w:r w:rsidR="003F1252" w:rsidRPr="0035065F">
        <w:rPr>
          <w:sz w:val="22"/>
          <w:szCs w:val="22"/>
          <w:lang w:val="en-US"/>
        </w:rPr>
        <w:t>2</w:t>
      </w:r>
    </w:p>
    <w:p w14:paraId="719BD28E" w14:textId="77777777" w:rsidR="00E90E49" w:rsidRPr="0035065F" w:rsidRDefault="003D3C45" w:rsidP="00F64C2B">
      <w:pPr>
        <w:pStyle w:val="3GPPHeader"/>
        <w:rPr>
          <w:sz w:val="22"/>
          <w:szCs w:val="22"/>
        </w:rPr>
      </w:pPr>
      <w:r w:rsidRPr="0035065F">
        <w:rPr>
          <w:sz w:val="22"/>
          <w:szCs w:val="22"/>
        </w:rPr>
        <w:t>Source:</w:t>
      </w:r>
      <w:r w:rsidR="00E90E49" w:rsidRPr="0035065F">
        <w:rPr>
          <w:sz w:val="22"/>
          <w:szCs w:val="22"/>
        </w:rPr>
        <w:tab/>
      </w:r>
      <w:r w:rsidR="00F64C2B" w:rsidRPr="0035065F">
        <w:rPr>
          <w:sz w:val="22"/>
          <w:szCs w:val="22"/>
        </w:rPr>
        <w:t>Ericsson</w:t>
      </w:r>
    </w:p>
    <w:p w14:paraId="01E982BB" w14:textId="6E0E077A" w:rsidR="00E90E49" w:rsidRPr="005D17A6" w:rsidRDefault="003D3C45" w:rsidP="00311702">
      <w:pPr>
        <w:pStyle w:val="3GPPHeader"/>
        <w:rPr>
          <w:sz w:val="22"/>
          <w:szCs w:val="22"/>
        </w:rPr>
      </w:pPr>
      <w:r w:rsidRPr="005D17A6">
        <w:rPr>
          <w:sz w:val="22"/>
          <w:szCs w:val="22"/>
        </w:rPr>
        <w:t>Title:</w:t>
      </w:r>
      <w:r w:rsidR="00E90E49" w:rsidRPr="005D17A6">
        <w:rPr>
          <w:sz w:val="22"/>
          <w:szCs w:val="22"/>
        </w:rPr>
        <w:tab/>
      </w:r>
      <w:r w:rsidR="004B25DC" w:rsidRPr="005D17A6">
        <w:rPr>
          <w:rFonts w:cs="Arial"/>
          <w:sz w:val="22"/>
          <w:szCs w:val="22"/>
          <w:lang w:val="en-US"/>
        </w:rPr>
        <w:t>Multiple Preamble Transmissions in NR Random Access</w:t>
      </w:r>
    </w:p>
    <w:p w14:paraId="7648FE32" w14:textId="1C773577" w:rsidR="00E90E49" w:rsidRDefault="00E90E49" w:rsidP="00D546FF">
      <w:pPr>
        <w:pStyle w:val="3GPPHeader"/>
        <w:rPr>
          <w:sz w:val="22"/>
          <w:szCs w:val="22"/>
        </w:rPr>
      </w:pPr>
      <w:r w:rsidRPr="0035065F">
        <w:rPr>
          <w:sz w:val="22"/>
          <w:szCs w:val="22"/>
        </w:rPr>
        <w:t>Document for:</w:t>
      </w:r>
      <w:r w:rsidRPr="0035065F">
        <w:rPr>
          <w:sz w:val="22"/>
          <w:szCs w:val="22"/>
        </w:rPr>
        <w:tab/>
        <w:t>Discussion, Decision</w:t>
      </w:r>
    </w:p>
    <w:p w14:paraId="244AC6A3" w14:textId="77777777" w:rsidR="0035065F" w:rsidRPr="0035065F" w:rsidRDefault="0035065F" w:rsidP="00D546FF">
      <w:pPr>
        <w:pStyle w:val="3GPPHeader"/>
        <w:rPr>
          <w:sz w:val="22"/>
          <w:szCs w:val="22"/>
        </w:rPr>
      </w:pPr>
    </w:p>
    <w:p w14:paraId="5574518A" w14:textId="77777777" w:rsidR="00C24345" w:rsidRDefault="00E90E49" w:rsidP="00A2052C">
      <w:pPr>
        <w:pStyle w:val="Heading1"/>
      </w:pPr>
      <w:r w:rsidRPr="00CE0424">
        <w:t>Introduction</w:t>
      </w:r>
    </w:p>
    <w:p w14:paraId="77F365C8" w14:textId="77777777" w:rsidR="000120F0" w:rsidRPr="00D375B5" w:rsidRDefault="000120F0" w:rsidP="000120F0">
      <w:pPr>
        <w:rPr>
          <w:rFonts w:cs="Arial"/>
          <w:lang w:val="en-US"/>
        </w:rPr>
      </w:pPr>
      <w:r w:rsidRPr="00D375B5">
        <w:rPr>
          <w:rFonts w:cs="Arial"/>
          <w:lang w:val="en-US"/>
        </w:rPr>
        <w:t xml:space="preserve">The possibility to use multiple preamble transmissions before the RAR window expiration has been agreed in RAN2 for contention free random access to enable UL beam sweeping for UEs without Rx/Tx reciprocity. </w:t>
      </w:r>
    </w:p>
    <w:p w14:paraId="4F94AE5B" w14:textId="77777777" w:rsidR="000120F0" w:rsidRPr="00D375B5" w:rsidRDefault="000120F0" w:rsidP="000120F0">
      <w:pPr>
        <w:rPr>
          <w:rFonts w:cs="Arial"/>
          <w:lang w:val="en-US"/>
        </w:rPr>
      </w:pPr>
      <w:r w:rsidRPr="00D375B5">
        <w:rPr>
          <w:rFonts w:cs="Arial"/>
          <w:lang w:val="en-US"/>
        </w:rPr>
        <w:t xml:space="preserve">In </w:t>
      </w:r>
      <w:r w:rsidRPr="00D375B5">
        <w:rPr>
          <w:rFonts w:cs="Arial"/>
          <w:b/>
          <w:lang w:val="en-US"/>
        </w:rPr>
        <w:t>RAN2#99</w:t>
      </w:r>
      <w:r w:rsidRPr="00D375B5">
        <w:rPr>
          <w:rFonts w:cs="Arial"/>
          <w:lang w:val="en-US"/>
        </w:rPr>
        <w:t>, the following agreements where made:</w:t>
      </w:r>
    </w:p>
    <w:p w14:paraId="15F1A6E9" w14:textId="77777777" w:rsidR="000120F0" w:rsidRPr="00D375B5" w:rsidRDefault="000120F0" w:rsidP="000120F0">
      <w:pPr>
        <w:pStyle w:val="BodyText"/>
      </w:pPr>
      <w:r w:rsidRPr="00D375B5">
        <w:rPr>
          <w:noProof/>
        </w:rPr>
        <mc:AlternateContent>
          <mc:Choice Requires="wps">
            <w:drawing>
              <wp:inline distT="0" distB="0" distL="0" distR="0" wp14:anchorId="438949BA" wp14:editId="04DE2B4E">
                <wp:extent cx="5943600" cy="1543306"/>
                <wp:effectExtent l="0" t="0" r="12700" b="17145"/>
                <wp:docPr id="16" name="Text Box 1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34A83B" w14:textId="77777777" w:rsidR="000120F0" w:rsidRPr="00D375B5" w:rsidRDefault="000120F0" w:rsidP="000120F0">
                            <w:pPr>
                              <w:rPr>
                                <w:rFonts w:eastAsia="MS Mincho" w:cs="Arial"/>
                                <w:b/>
                                <w:u w:val="single"/>
                                <w:lang w:val="en-US"/>
                              </w:rPr>
                            </w:pPr>
                            <w:r w:rsidRPr="00D375B5">
                              <w:rPr>
                                <w:rFonts w:eastAsia="MS Mincho" w:cs="Arial"/>
                                <w:b/>
                                <w:highlight w:val="green"/>
                                <w:u w:val="single"/>
                                <w:lang w:val="en-US"/>
                              </w:rPr>
                              <w:t>Agreements:</w:t>
                            </w:r>
                          </w:p>
                          <w:p w14:paraId="0226BCA6" w14:textId="77777777" w:rsidR="000120F0" w:rsidRPr="00D375B5" w:rsidRDefault="000120F0" w:rsidP="000120F0">
                            <w:pPr>
                              <w:rPr>
                                <w:rFonts w:cs="Arial"/>
                                <w:lang w:val="en-US"/>
                              </w:rPr>
                            </w:pPr>
                            <w:r w:rsidRPr="00D375B5">
                              <w:rPr>
                                <w:rFonts w:cs="Arial"/>
                                <w:lang w:val="en-US"/>
                              </w:rPr>
                              <w:t xml:space="preserve">For multiple msg1 transmissions for contention free RACH </w:t>
                            </w:r>
                          </w:p>
                          <w:p w14:paraId="231FDE49" w14:textId="77777777" w:rsidR="000120F0" w:rsidRPr="00D375B5" w:rsidRDefault="000120F0" w:rsidP="000120F0">
                            <w:pPr>
                              <w:pStyle w:val="ListParagraph"/>
                              <w:numPr>
                                <w:ilvl w:val="0"/>
                                <w:numId w:val="16"/>
                              </w:numPr>
                              <w:rPr>
                                <w:rFonts w:ascii="Arial" w:hAnsi="Arial" w:cs="Arial"/>
                                <w:sz w:val="20"/>
                                <w:lang w:val="en-US"/>
                              </w:rPr>
                            </w:pPr>
                            <w:r w:rsidRPr="00D375B5">
                              <w:rPr>
                                <w:rFonts w:ascii="Arial" w:hAnsi="Arial" w:cs="Arial"/>
                                <w:sz w:val="20"/>
                                <w:lang w:val="en-US"/>
                              </w:rPr>
                              <w:t xml:space="preserve">A single RAR window is applied for multiple msg1 transmission.  </w:t>
                            </w:r>
                          </w:p>
                          <w:p w14:paraId="189F4FEB" w14:textId="77777777" w:rsidR="000120F0" w:rsidRPr="00D375B5" w:rsidRDefault="000120F0" w:rsidP="000120F0">
                            <w:pPr>
                              <w:pStyle w:val="ListParagraph"/>
                              <w:numPr>
                                <w:ilvl w:val="0"/>
                                <w:numId w:val="16"/>
                              </w:numPr>
                              <w:rPr>
                                <w:rFonts w:ascii="Arial" w:hAnsi="Arial" w:cs="Arial"/>
                                <w:sz w:val="20"/>
                                <w:lang w:val="en-US"/>
                              </w:rPr>
                            </w:pPr>
                            <w:r w:rsidRPr="00D375B5">
                              <w:rPr>
                                <w:rFonts w:ascii="Arial" w:hAnsi="Arial" w:cs="Arial"/>
                                <w:sz w:val="20"/>
                                <w:lang w:val="en-US"/>
                              </w:rPr>
                              <w:t xml:space="preserve">The RAR window is started after transmission of the first preamble after a “offset”.  </w:t>
                            </w:r>
                          </w:p>
                          <w:p w14:paraId="32C9BA19" w14:textId="77777777" w:rsidR="000120F0" w:rsidRPr="00D375B5" w:rsidRDefault="000120F0" w:rsidP="000120F0">
                            <w:pPr>
                              <w:pStyle w:val="ListParagraph"/>
                              <w:numPr>
                                <w:ilvl w:val="0"/>
                                <w:numId w:val="16"/>
                              </w:numPr>
                              <w:rPr>
                                <w:rFonts w:ascii="Arial" w:hAnsi="Arial" w:cs="Arial"/>
                                <w:sz w:val="20"/>
                                <w:lang w:val="en-US"/>
                              </w:rPr>
                            </w:pPr>
                            <w:r w:rsidRPr="00D375B5">
                              <w:rPr>
                                <w:rFonts w:ascii="Arial" w:hAnsi="Arial" w:cs="Arial"/>
                                <w:sz w:val="20"/>
                                <w:lang w:val="en-US"/>
                              </w:rPr>
                              <w:t xml:space="preserve">The UE monitors multiple RA-RNTIs.  The RA-RNTI is associated to the RACH transmission occasion in which the preamble was transmitted.  </w:t>
                            </w:r>
                          </w:p>
                          <w:p w14:paraId="7FF50EBF" w14:textId="77777777" w:rsidR="000120F0" w:rsidRPr="00D375B5" w:rsidRDefault="000120F0" w:rsidP="000120F0">
                            <w:pPr>
                              <w:pStyle w:val="ListParagraph"/>
                              <w:numPr>
                                <w:ilvl w:val="0"/>
                                <w:numId w:val="16"/>
                              </w:numPr>
                              <w:rPr>
                                <w:rFonts w:ascii="Arial" w:hAnsi="Arial" w:cs="Arial"/>
                                <w:sz w:val="20"/>
                              </w:rPr>
                            </w:pPr>
                            <w:r w:rsidRPr="00D375B5">
                              <w:rPr>
                                <w:rFonts w:ascii="Arial" w:hAnsi="Arial" w:cs="Arial"/>
                                <w:sz w:val="20"/>
                                <w:lang w:val="en-US"/>
                              </w:rPr>
                              <w:t xml:space="preserve">Once a RAR is received, the RAR reception is considered successful, as in LTE.  </w:t>
                            </w:r>
                            <w:r w:rsidRPr="00D375B5">
                              <w:rPr>
                                <w:rFonts w:ascii="Arial" w:hAnsi="Arial" w:cs="Arial"/>
                                <w:sz w:val="20"/>
                              </w:rPr>
                              <w:t>The UE stops multiple preamble transmission.</w:t>
                            </w:r>
                          </w:p>
                          <w:p w14:paraId="7743A208" w14:textId="77777777" w:rsidR="000120F0" w:rsidRPr="00D375B5" w:rsidRDefault="000120F0" w:rsidP="000120F0">
                            <w:pPr>
                              <w:pStyle w:val="ListParagraph"/>
                              <w:numPr>
                                <w:ilvl w:val="0"/>
                                <w:numId w:val="16"/>
                              </w:numPr>
                              <w:rPr>
                                <w:rFonts w:ascii="Arial" w:eastAsia="MS Mincho" w:hAnsi="Arial" w:cs="Arial"/>
                                <w:sz w:val="20"/>
                                <w:lang w:val="en-US"/>
                              </w:rPr>
                            </w:pPr>
                            <w:r w:rsidRPr="00D375B5">
                              <w:rPr>
                                <w:rFonts w:ascii="Arial" w:hAnsi="Arial" w:cs="Arial"/>
                                <w:sz w:val="20"/>
                                <w:lang w:val="en-US"/>
                              </w:rPr>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38949BA" id="_x0000_t202" coordsize="21600,21600" o:spt="202" path="m,l,21600r21600,l21600,xe">
                <v:stroke joinstyle="miter"/>
                <v:path gradientshapeok="t" o:connecttype="rect"/>
              </v:shapetype>
              <v:shape id="Text Box 16"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L575tCVAgAAtQUAAA4AAAAAAAAAAAAAAAAALgIAAGRycy9lMm9Eb2MueG1s&#10;UEsBAi0AFAAGAAgAAAAhAORLK1XcAAAABQEAAA8AAAAAAAAAAAAAAAAA7wQAAGRycy9kb3ducmV2&#10;LnhtbFBLBQYAAAAABAAEAPMAAAD4BQAAAAA=&#10;" fillcolor="white [3201]" strokeweight=".5pt">
                <v:textbox style="mso-fit-shape-to-text:t">
                  <w:txbxContent>
                    <w:p w14:paraId="5F34A83B" w14:textId="77777777" w:rsidR="000120F0" w:rsidRPr="00D375B5" w:rsidRDefault="000120F0" w:rsidP="000120F0">
                      <w:pPr>
                        <w:rPr>
                          <w:rFonts w:eastAsia="MS Mincho" w:cs="Arial"/>
                          <w:b/>
                          <w:u w:val="single"/>
                          <w:lang w:val="en-US"/>
                        </w:rPr>
                      </w:pPr>
                      <w:r w:rsidRPr="00D375B5">
                        <w:rPr>
                          <w:rFonts w:eastAsia="MS Mincho" w:cs="Arial"/>
                          <w:b/>
                          <w:highlight w:val="green"/>
                          <w:u w:val="single"/>
                          <w:lang w:val="en-US"/>
                        </w:rPr>
                        <w:t>Agreements:</w:t>
                      </w:r>
                    </w:p>
                    <w:p w14:paraId="0226BCA6" w14:textId="77777777" w:rsidR="000120F0" w:rsidRPr="00D375B5" w:rsidRDefault="000120F0" w:rsidP="000120F0">
                      <w:pPr>
                        <w:rPr>
                          <w:rFonts w:cs="Arial"/>
                          <w:lang w:val="en-US"/>
                        </w:rPr>
                      </w:pPr>
                      <w:r w:rsidRPr="00D375B5">
                        <w:rPr>
                          <w:rFonts w:cs="Arial"/>
                          <w:lang w:val="en-US"/>
                        </w:rPr>
                        <w:t xml:space="preserve">For multiple msg1 transmissions for contention free RACH </w:t>
                      </w:r>
                    </w:p>
                    <w:p w14:paraId="231FDE49" w14:textId="77777777" w:rsidR="000120F0" w:rsidRPr="00D375B5" w:rsidRDefault="000120F0" w:rsidP="000120F0">
                      <w:pPr>
                        <w:pStyle w:val="ListParagraph"/>
                        <w:numPr>
                          <w:ilvl w:val="0"/>
                          <w:numId w:val="16"/>
                        </w:numPr>
                        <w:rPr>
                          <w:rFonts w:ascii="Arial" w:hAnsi="Arial" w:cs="Arial"/>
                          <w:sz w:val="20"/>
                          <w:lang w:val="en-US"/>
                        </w:rPr>
                      </w:pPr>
                      <w:r w:rsidRPr="00D375B5">
                        <w:rPr>
                          <w:rFonts w:ascii="Arial" w:hAnsi="Arial" w:cs="Arial"/>
                          <w:sz w:val="20"/>
                          <w:lang w:val="en-US"/>
                        </w:rPr>
                        <w:t xml:space="preserve">A single RAR window is applied for multiple msg1 transmission.  </w:t>
                      </w:r>
                    </w:p>
                    <w:p w14:paraId="189F4FEB" w14:textId="77777777" w:rsidR="000120F0" w:rsidRPr="00D375B5" w:rsidRDefault="000120F0" w:rsidP="000120F0">
                      <w:pPr>
                        <w:pStyle w:val="ListParagraph"/>
                        <w:numPr>
                          <w:ilvl w:val="0"/>
                          <w:numId w:val="16"/>
                        </w:numPr>
                        <w:rPr>
                          <w:rFonts w:ascii="Arial" w:hAnsi="Arial" w:cs="Arial"/>
                          <w:sz w:val="20"/>
                          <w:lang w:val="en-US"/>
                        </w:rPr>
                      </w:pPr>
                      <w:r w:rsidRPr="00D375B5">
                        <w:rPr>
                          <w:rFonts w:ascii="Arial" w:hAnsi="Arial" w:cs="Arial"/>
                          <w:sz w:val="20"/>
                          <w:lang w:val="en-US"/>
                        </w:rPr>
                        <w:t xml:space="preserve">The RAR window is started after transmission of the first preamble after a “offset”.  </w:t>
                      </w:r>
                    </w:p>
                    <w:p w14:paraId="32C9BA19" w14:textId="77777777" w:rsidR="000120F0" w:rsidRPr="00D375B5" w:rsidRDefault="000120F0" w:rsidP="000120F0">
                      <w:pPr>
                        <w:pStyle w:val="ListParagraph"/>
                        <w:numPr>
                          <w:ilvl w:val="0"/>
                          <w:numId w:val="16"/>
                        </w:numPr>
                        <w:rPr>
                          <w:rFonts w:ascii="Arial" w:hAnsi="Arial" w:cs="Arial"/>
                          <w:sz w:val="20"/>
                          <w:lang w:val="en-US"/>
                        </w:rPr>
                      </w:pPr>
                      <w:r w:rsidRPr="00D375B5">
                        <w:rPr>
                          <w:rFonts w:ascii="Arial" w:hAnsi="Arial" w:cs="Arial"/>
                          <w:sz w:val="20"/>
                          <w:lang w:val="en-US"/>
                        </w:rPr>
                        <w:t xml:space="preserve">The UE monitors multiple RA-RNTIs.  The RA-RNTI is associated to the RACH transmission occasion in which the preamble was transmitted.  </w:t>
                      </w:r>
                    </w:p>
                    <w:p w14:paraId="7FF50EBF" w14:textId="77777777" w:rsidR="000120F0" w:rsidRPr="00D375B5" w:rsidRDefault="000120F0" w:rsidP="000120F0">
                      <w:pPr>
                        <w:pStyle w:val="ListParagraph"/>
                        <w:numPr>
                          <w:ilvl w:val="0"/>
                          <w:numId w:val="16"/>
                        </w:numPr>
                        <w:rPr>
                          <w:rFonts w:ascii="Arial" w:hAnsi="Arial" w:cs="Arial"/>
                          <w:sz w:val="20"/>
                        </w:rPr>
                      </w:pPr>
                      <w:r w:rsidRPr="00D375B5">
                        <w:rPr>
                          <w:rFonts w:ascii="Arial" w:hAnsi="Arial" w:cs="Arial"/>
                          <w:sz w:val="20"/>
                          <w:lang w:val="en-US"/>
                        </w:rPr>
                        <w:t xml:space="preserve">Once a RAR is received, the RAR reception is considered successful, as in LTE.  </w:t>
                      </w:r>
                      <w:r w:rsidRPr="00D375B5">
                        <w:rPr>
                          <w:rFonts w:ascii="Arial" w:hAnsi="Arial" w:cs="Arial"/>
                          <w:sz w:val="20"/>
                        </w:rPr>
                        <w:t>The UE stops multiple preamble transmission.</w:t>
                      </w:r>
                    </w:p>
                    <w:p w14:paraId="7743A208" w14:textId="77777777" w:rsidR="000120F0" w:rsidRPr="00D375B5" w:rsidRDefault="000120F0" w:rsidP="000120F0">
                      <w:pPr>
                        <w:pStyle w:val="ListParagraph"/>
                        <w:numPr>
                          <w:ilvl w:val="0"/>
                          <w:numId w:val="16"/>
                        </w:numPr>
                        <w:rPr>
                          <w:rFonts w:ascii="Arial" w:eastAsia="MS Mincho" w:hAnsi="Arial" w:cs="Arial"/>
                          <w:sz w:val="20"/>
                          <w:lang w:val="en-US"/>
                        </w:rPr>
                      </w:pPr>
                      <w:r w:rsidRPr="00D375B5">
                        <w:rPr>
                          <w:rFonts w:ascii="Arial" w:hAnsi="Arial" w:cs="Arial"/>
                          <w:sz w:val="20"/>
                          <w:lang w:val="en-US"/>
                        </w:rPr>
                        <w:t>Details of RA-RNTI calculations are FFS</w:t>
                      </w:r>
                    </w:p>
                  </w:txbxContent>
                </v:textbox>
                <w10:anchorlock/>
              </v:shape>
            </w:pict>
          </mc:Fallback>
        </mc:AlternateContent>
      </w:r>
    </w:p>
    <w:p w14:paraId="729D07EA" w14:textId="77777777" w:rsidR="000120F0" w:rsidRPr="00D375B5" w:rsidRDefault="000120F0" w:rsidP="000120F0">
      <w:pPr>
        <w:pStyle w:val="BodyText"/>
      </w:pPr>
      <w:r w:rsidRPr="00D375B5">
        <w:t>As agreed in RAN2#97bis, “There is at most one Random Access procedure ongoing at any point in time in a MAC entity”</w:t>
      </w:r>
      <w:r>
        <w:t>.</w:t>
      </w:r>
    </w:p>
    <w:p w14:paraId="6A690FDE" w14:textId="0C6B1FFB" w:rsidR="00A2052C" w:rsidRPr="00A2052C" w:rsidRDefault="000120F0" w:rsidP="000120F0">
      <w:r w:rsidRPr="00D375B5">
        <w:t>The above agreements form a basis for multiple preamble transmissions, but the full support for this agreed feature is missing in specifications. Multiple preamble transmissions were not part of the RAN1 topics prioritized for the December release, so work on this topic was down-prioritized in RAN2 as well during the end of 2017. However, the already made agreements are not sufficient and should be complemented to enable efficient multiple preamble transmissions. This contribution discusses the remaining issues for multiple preamble transmissions.</w:t>
      </w:r>
    </w:p>
    <w:p w14:paraId="5B92B7B3" w14:textId="77777777" w:rsidR="004000E8" w:rsidRPr="00CE0424" w:rsidRDefault="004000E8" w:rsidP="00CE0424">
      <w:pPr>
        <w:pStyle w:val="Heading1"/>
      </w:pPr>
      <w:bookmarkStart w:id="1" w:name="_Ref178064866"/>
      <w:r w:rsidRPr="00CE0424">
        <w:t>Discussion</w:t>
      </w:r>
      <w:bookmarkEnd w:id="1"/>
    </w:p>
    <w:p w14:paraId="6DC2E1FC" w14:textId="0C0F43A0" w:rsidR="00F57A2A" w:rsidRDefault="00F57A2A" w:rsidP="00F57A2A">
      <w:pPr>
        <w:pStyle w:val="BodyText"/>
      </w:pPr>
      <w:bookmarkStart w:id="2" w:name="_Ref190406817"/>
      <w:bookmarkStart w:id="3" w:name="_Toc226862296"/>
      <w:bookmarkStart w:id="4" w:name="_Toc347823621"/>
      <w:bookmarkStart w:id="5" w:name="_Toc347824073"/>
      <w:bookmarkStart w:id="6" w:name="_Toc347824246"/>
      <w:r w:rsidRPr="00D375B5">
        <w:t>The main scenario where multiple preamble transmissions before the end of the RAR window would be needed is for UEs which do not support Rx/Tx reciprocity. These UEs cannot determine their best UL tx beam based on their best Rx beam.</w:t>
      </w:r>
      <w:r>
        <w:t xml:space="preserve"> Since an agreement has been made to support multiple preamble transmission for CFRA, the use cases are restricted to connected UEs. The most important cases would be for hand over and when a UE which has lost its UL synch., i.e. the TAT has expired, receives a </w:t>
      </w:r>
      <w:r w:rsidR="000A3371">
        <w:t>PDCCH</w:t>
      </w:r>
      <w:r>
        <w:t xml:space="preserve"> order</w:t>
      </w:r>
      <w:r w:rsidRPr="00D375B5">
        <w:t xml:space="preserve"> </w:t>
      </w:r>
      <w:r>
        <w:t xml:space="preserve">to do random access. </w:t>
      </w:r>
    </w:p>
    <w:p w14:paraId="154FC7A5" w14:textId="0FE5BF0F" w:rsidR="00F57A2A" w:rsidRDefault="00F57A2A" w:rsidP="00F57A2A">
      <w:pPr>
        <w:pStyle w:val="BodyText"/>
      </w:pPr>
      <w:r w:rsidRPr="00D375B5">
        <w:t xml:space="preserve">In case these UEs would transmit a narrow beam in the wrong direction, there is a risk that it will not be detected by the gNB. It should be noted that also UEs not supporting Rx/Tx reciprocity can transmit a wide beam which could, at least after some power ramping, in most cases be detected by the gNB. Another </w:t>
      </w:r>
      <w:r w:rsidRPr="00D375B5">
        <w:lastRenderedPageBreak/>
        <w:t>possibility would be to do a beam sweeping with ordinary single preamble transmissions. This would typically lead to long</w:t>
      </w:r>
      <w:r w:rsidR="001E4B87">
        <w:t>er</w:t>
      </w:r>
      <w:r w:rsidRPr="00D375B5">
        <w:t xml:space="preserve"> latencies, unless a really short preamble format and short RAR window size is used, since the RAR window must expire before a new preamble transmission can be done.</w:t>
      </w:r>
      <w:r w:rsidR="005F7A74">
        <w:t xml:space="preserve"> In general, configuring </w:t>
      </w:r>
      <w:r w:rsidR="000E4AA1">
        <w:t xml:space="preserve">very </w:t>
      </w:r>
      <w:r w:rsidR="005F7A74">
        <w:t xml:space="preserve">short RAR windows may not be </w:t>
      </w:r>
      <w:r w:rsidR="00BA417C">
        <w:t>desirable</w:t>
      </w:r>
      <w:r w:rsidR="005F7A74">
        <w:t xml:space="preserve"> in all </w:t>
      </w:r>
      <w:r w:rsidR="00EB41D4">
        <w:t>cases and</w:t>
      </w:r>
      <w:r w:rsidR="005F7A74">
        <w:t xml:space="preserve"> require</w:t>
      </w:r>
      <w:r w:rsidR="000E4AA1">
        <w:t>s handling of</w:t>
      </w:r>
      <w:r w:rsidR="005F7A74">
        <w:t xml:space="preserve"> high processing </w:t>
      </w:r>
      <w:r w:rsidR="00EB41D4">
        <w:t>load when many UEs do random access.</w:t>
      </w:r>
    </w:p>
    <w:p w14:paraId="7BDF547F" w14:textId="52C502D6" w:rsidR="00DD3D00" w:rsidRPr="00D375B5" w:rsidRDefault="00DD3D00" w:rsidP="005D17A6">
      <w:pPr>
        <w:pStyle w:val="Heading2"/>
      </w:pPr>
      <w:r>
        <w:t>Possible gains with multiple preamble transmissions</w:t>
      </w:r>
    </w:p>
    <w:p w14:paraId="4E6286B6" w14:textId="1177B948" w:rsidR="00734427" w:rsidRDefault="00F57A2A" w:rsidP="00F57A2A">
      <w:pPr>
        <w:pStyle w:val="BodyText"/>
      </w:pPr>
      <w:r w:rsidRPr="00D375B5">
        <w:t>Current specifications do not allow for multiple preamble transmissions before the end of the RAR window.</w:t>
      </w:r>
      <w:r w:rsidR="00EB41D4">
        <w:t xml:space="preserve"> </w:t>
      </w:r>
      <w:r w:rsidR="00FB5B9E">
        <w:t xml:space="preserve">In the example illustrated in </w:t>
      </w:r>
      <w:r w:rsidR="00FB5B9E">
        <w:fldChar w:fldCharType="begin"/>
      </w:r>
      <w:r w:rsidR="00FB5B9E">
        <w:instrText xml:space="preserve"> REF _Ref505757588 \h </w:instrText>
      </w:r>
      <w:r w:rsidR="00FB5B9E">
        <w:fldChar w:fldCharType="separate"/>
      </w:r>
      <w:r w:rsidR="00FB5B9E">
        <w:t xml:space="preserve">Figure </w:t>
      </w:r>
      <w:r w:rsidR="00FB5B9E">
        <w:rPr>
          <w:noProof/>
        </w:rPr>
        <w:t>1</w:t>
      </w:r>
      <w:r w:rsidR="00FB5B9E">
        <w:fldChar w:fldCharType="end"/>
      </w:r>
      <w:r w:rsidR="00FB5B9E">
        <w:t>, a SCS of 15 kHz is assumed together with a short preamble f</w:t>
      </w:r>
      <w:r w:rsidR="0024464E">
        <w:t>ormat such as A1-A3, B1-B4, C0 or</w:t>
      </w:r>
      <w:r w:rsidR="00FB5B9E">
        <w:t xml:space="preserve"> C2</w:t>
      </w:r>
      <w:r w:rsidR="0024464E">
        <w:t>,</w:t>
      </w:r>
      <w:r w:rsidR="00FB5B9E">
        <w:t xml:space="preserve"> </w:t>
      </w:r>
      <w:r w:rsidR="009003DE">
        <w:t xml:space="preserve">see </w:t>
      </w:r>
      <w:r w:rsidR="0024464E">
        <w:t xml:space="preserve">Table 6.3.3.1-2 in </w:t>
      </w:r>
      <w:r w:rsidR="0024464E">
        <w:fldChar w:fldCharType="begin"/>
      </w:r>
      <w:r w:rsidR="0024464E">
        <w:instrText xml:space="preserve"> REF _Ref506129236 \r \h </w:instrText>
      </w:r>
      <w:r w:rsidR="0024464E">
        <w:fldChar w:fldCharType="separate"/>
      </w:r>
      <w:r w:rsidR="0024464E">
        <w:t>[1]</w:t>
      </w:r>
      <w:r w:rsidR="0024464E">
        <w:fldChar w:fldCharType="end"/>
      </w:r>
      <w:r w:rsidR="00FB5B9E">
        <w:t xml:space="preserve">. A corresponding PRACH configuration agreed for these preamble formats with PRACH every second slot </w:t>
      </w:r>
      <w:r w:rsidR="00734427">
        <w:t>is also used</w:t>
      </w:r>
      <w:r w:rsidR="00FB5B9E">
        <w:t xml:space="preserve">. Two different RAR window lengths of 1 or 2 slots are </w:t>
      </w:r>
      <w:r w:rsidR="00734427">
        <w:t>shown in the figure</w:t>
      </w:r>
      <w:r w:rsidR="00FB5B9E">
        <w:t>. As can be seen in the exa</w:t>
      </w:r>
      <w:r w:rsidR="00EB41D4">
        <w:t xml:space="preserve">mple, the minimum time to transmit 4 UL beams and waiting for the RAR window to expire after the </w:t>
      </w:r>
      <w:r w:rsidR="00734427">
        <w:t xml:space="preserve">last transmission </w:t>
      </w:r>
      <w:r w:rsidR="00EB41D4">
        <w:t>would be in the order of 8 slots</w:t>
      </w:r>
      <w:r w:rsidR="00FB5B9E">
        <w:t xml:space="preserve"> using</w:t>
      </w:r>
      <w:r w:rsidR="00624D18">
        <w:t xml:space="preserve"> the minimum </w:t>
      </w:r>
      <w:r w:rsidR="00FB5B9E">
        <w:t xml:space="preserve">possible </w:t>
      </w:r>
      <w:r w:rsidR="00624D18">
        <w:t xml:space="preserve">RAR window size </w:t>
      </w:r>
      <w:r w:rsidR="00FB5B9E">
        <w:t>of</w:t>
      </w:r>
      <w:r w:rsidR="00624D18">
        <w:t xml:space="preserve"> 1 slot</w:t>
      </w:r>
      <w:r w:rsidR="00EB41D4">
        <w:t xml:space="preserve">. If instead </w:t>
      </w:r>
      <w:r w:rsidR="00FB5B9E">
        <w:t xml:space="preserve">a 2 slot RAR window is used with the same PRACH configuration, it will take </w:t>
      </w:r>
      <w:r w:rsidR="00734427">
        <w:t xml:space="preserve">15 slots to perform </w:t>
      </w:r>
      <w:r w:rsidR="00EB41D4">
        <w:t xml:space="preserve">the </w:t>
      </w:r>
      <w:r w:rsidR="0080038A">
        <w:t>4</w:t>
      </w:r>
      <w:r w:rsidR="00EB41D4">
        <w:t xml:space="preserve"> preamble transmissions </w:t>
      </w:r>
      <w:r w:rsidR="00734427">
        <w:t>and wait for the RAR window to expire. If a RAR window length of 4 slots is used, it would take 21 slots</w:t>
      </w:r>
      <w:r w:rsidR="005D6ED8">
        <w:t xml:space="preserve"> (not shown in the figure)</w:t>
      </w:r>
      <w:r w:rsidR="00734427">
        <w:t xml:space="preserve">. It should be noted that configuring a RAR window length above 4 slots (8 or 10) may also be used and would give even longer time </w:t>
      </w:r>
      <w:r w:rsidR="00285F19">
        <w:t xml:space="preserve">to </w:t>
      </w:r>
      <w:r w:rsidR="00734427">
        <w:t>complete 4 preamble transmissions.</w:t>
      </w:r>
    </w:p>
    <w:p w14:paraId="30AACFF2" w14:textId="494DAB81" w:rsidR="00F57A2A" w:rsidRDefault="00F57A2A" w:rsidP="00F57A2A">
      <w:pPr>
        <w:pStyle w:val="BodyText"/>
      </w:pPr>
    </w:p>
    <w:p w14:paraId="05A82227" w14:textId="07C7D6BD" w:rsidR="001E4B87" w:rsidRDefault="001E4B87" w:rsidP="00F57A2A">
      <w:pPr>
        <w:pStyle w:val="BodyText"/>
      </w:pPr>
      <w:r>
        <w:rPr>
          <w:noProof/>
        </w:rPr>
        <w:drawing>
          <wp:inline distT="0" distB="0" distL="0" distR="0" wp14:anchorId="7F7DEFAF" wp14:editId="1068CB67">
            <wp:extent cx="6260400" cy="2084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0400" cy="2084400"/>
                    </a:xfrm>
                    <a:prstGeom prst="rect">
                      <a:avLst/>
                    </a:prstGeom>
                    <a:noFill/>
                  </pic:spPr>
                </pic:pic>
              </a:graphicData>
            </a:graphic>
          </wp:inline>
        </w:drawing>
      </w:r>
    </w:p>
    <w:p w14:paraId="1075CC62" w14:textId="7561C6D0" w:rsidR="0080038A" w:rsidRDefault="0080038A" w:rsidP="00F57A2A">
      <w:pPr>
        <w:pStyle w:val="BodyText"/>
      </w:pPr>
    </w:p>
    <w:p w14:paraId="53E3B87B" w14:textId="2357BDE1" w:rsidR="0080038A" w:rsidRPr="00D375B5" w:rsidRDefault="0080038A" w:rsidP="0080038A">
      <w:pPr>
        <w:pStyle w:val="Caption"/>
      </w:pPr>
      <w:bookmarkStart w:id="7" w:name="_Ref505757588"/>
      <w:r>
        <w:t xml:space="preserve">Figure </w:t>
      </w:r>
      <w:r>
        <w:fldChar w:fldCharType="begin"/>
      </w:r>
      <w:r>
        <w:instrText xml:space="preserve"> SEQ Figure \* ARABIC </w:instrText>
      </w:r>
      <w:r>
        <w:fldChar w:fldCharType="separate"/>
      </w:r>
      <w:r w:rsidR="00447039">
        <w:rPr>
          <w:noProof/>
        </w:rPr>
        <w:t>1</w:t>
      </w:r>
      <w:r>
        <w:fldChar w:fldCharType="end"/>
      </w:r>
      <w:bookmarkEnd w:id="7"/>
      <w:r>
        <w:t xml:space="preserve"> Repeated single preamble transmissions.</w:t>
      </w:r>
    </w:p>
    <w:p w14:paraId="00CACF4B" w14:textId="3C40907A" w:rsidR="00734427" w:rsidRDefault="000F030E" w:rsidP="00F57A2A">
      <w:pPr>
        <w:pStyle w:val="BodyText"/>
      </w:pPr>
      <w:r>
        <w:t>U</w:t>
      </w:r>
      <w:r w:rsidR="00734427">
        <w:t>s</w:t>
      </w:r>
      <w:r>
        <w:t>ing</w:t>
      </w:r>
      <w:r w:rsidR="00734427">
        <w:t xml:space="preserve"> multiple preamble transmissions with the same assumptions as above, the situation is different. To have a fair comparison the RAR window should end after the same number of slots</w:t>
      </w:r>
      <w:r w:rsidR="00447039">
        <w:t xml:space="preserve"> after the last preamble transmission</w:t>
      </w:r>
      <w:r w:rsidR="00734427">
        <w:t xml:space="preserve"> </w:t>
      </w:r>
      <w:r w:rsidR="00447039">
        <w:t xml:space="preserve">as was used in the example in </w:t>
      </w:r>
      <w:r w:rsidR="00447039">
        <w:fldChar w:fldCharType="begin"/>
      </w:r>
      <w:r w:rsidR="00447039">
        <w:instrText xml:space="preserve"> REF _Ref505757588 \h </w:instrText>
      </w:r>
      <w:r w:rsidR="00447039">
        <w:fldChar w:fldCharType="separate"/>
      </w:r>
      <w:r w:rsidR="00447039">
        <w:t xml:space="preserve">Figure </w:t>
      </w:r>
      <w:r w:rsidR="00447039">
        <w:rPr>
          <w:noProof/>
        </w:rPr>
        <w:t>1</w:t>
      </w:r>
      <w:r w:rsidR="00447039">
        <w:fldChar w:fldCharType="end"/>
      </w:r>
      <w:r w:rsidR="00447039">
        <w:t xml:space="preserve">, i.e. 1 or </w:t>
      </w:r>
      <w:r>
        <w:t>2</w:t>
      </w:r>
      <w:r w:rsidR="00447039">
        <w:t xml:space="preserve"> slots after the last preamble transmission. The case with a 2 slot RAR window is illustrated in the upper half of </w:t>
      </w:r>
      <w:r w:rsidR="00447039">
        <w:fldChar w:fldCharType="begin"/>
      </w:r>
      <w:r w:rsidR="00447039">
        <w:instrText xml:space="preserve"> REF _Ref505947610 \h </w:instrText>
      </w:r>
      <w:r w:rsidR="00447039">
        <w:fldChar w:fldCharType="separate"/>
      </w:r>
      <w:r w:rsidR="00447039">
        <w:t xml:space="preserve">Figure </w:t>
      </w:r>
      <w:r w:rsidR="00447039">
        <w:rPr>
          <w:noProof/>
        </w:rPr>
        <w:t>2</w:t>
      </w:r>
      <w:r w:rsidR="00447039">
        <w:fldChar w:fldCharType="end"/>
      </w:r>
      <w:r w:rsidR="00447039">
        <w:t>. Here the time to transmit 4 preamble transmissions and wait for the 2 slot RAR</w:t>
      </w:r>
      <w:r w:rsidR="00E04CB5">
        <w:t xml:space="preserve"> window</w:t>
      </w:r>
      <w:r w:rsidR="00447039">
        <w:t xml:space="preserve"> to expire is 9 slots</w:t>
      </w:r>
      <w:r>
        <w:t>, compared to 15 slots in the repeated single preamble transmission case</w:t>
      </w:r>
      <w:r w:rsidR="00447039">
        <w:t xml:space="preserve">. </w:t>
      </w:r>
      <w:r>
        <w:t>I</w:t>
      </w:r>
      <w:r w:rsidR="00447039">
        <w:t>f the RAR</w:t>
      </w:r>
      <w:r>
        <w:t xml:space="preserve"> window</w:t>
      </w:r>
      <w:r w:rsidR="00447039">
        <w:t xml:space="preserve"> is extended to 4 slots after the last preamble transmission, the time increases to 11 slots. The longer the RAR</w:t>
      </w:r>
      <w:r>
        <w:t xml:space="preserve"> window</w:t>
      </w:r>
      <w:r w:rsidR="00447039">
        <w:t xml:space="preserve"> is, the larger advantage of using multiple preamble transmissions, since it does not increase the time between the different preamble transmissions.</w:t>
      </w:r>
      <w:r w:rsidR="006E286B">
        <w:t xml:space="preserve"> As a further</w:t>
      </w:r>
      <w:r w:rsidR="00734427">
        <w:t xml:space="preserve"> </w:t>
      </w:r>
      <w:r w:rsidR="006E286B">
        <w:t xml:space="preserve">enhancement possibility for multiple preamble transmission is to use one of the agreed PRACH configurations where PRACH transmissions are possible in every SF (slot for 15 kHz SCS). In this case the preamble transmissions can be done back-to-back giving an even shorter delay. </w:t>
      </w:r>
      <w:r>
        <w:t>With back-to-back transmissions, 4</w:t>
      </w:r>
      <w:r w:rsidR="006E286B">
        <w:t xml:space="preserve"> preamble transmissions with a 1 s</w:t>
      </w:r>
      <w:r>
        <w:t>lot RAR is done in only 5 slots and</w:t>
      </w:r>
      <w:r w:rsidR="006E286B">
        <w:t xml:space="preserve"> </w:t>
      </w:r>
      <w:r>
        <w:t>4</w:t>
      </w:r>
      <w:r w:rsidR="006E286B">
        <w:t xml:space="preserve"> preamble transmissions with a 2 slot RAR window can be done in 6 slots.</w:t>
      </w:r>
    </w:p>
    <w:p w14:paraId="6B39464C" w14:textId="07A0DAE0" w:rsidR="00266230" w:rsidRDefault="00266230" w:rsidP="0052169D">
      <w:pPr>
        <w:pStyle w:val="Observation"/>
      </w:pPr>
      <w:bookmarkStart w:id="8" w:name="_Toc505767146"/>
      <w:bookmarkStart w:id="9" w:name="_Toc505773550"/>
      <w:bookmarkStart w:id="10" w:name="_Toc505932863"/>
      <w:bookmarkStart w:id="11" w:name="_Toc506214461"/>
      <w:bookmarkStart w:id="12" w:name="_Toc506467885"/>
      <w:r>
        <w:t>Depending on configuration, multiple preamble transmissions can give large gains for the time needed to perform an UL beam sweep, compared to single preamble transmissions.</w:t>
      </w:r>
      <w:bookmarkEnd w:id="8"/>
      <w:bookmarkEnd w:id="9"/>
      <w:bookmarkEnd w:id="10"/>
      <w:bookmarkEnd w:id="11"/>
      <w:bookmarkEnd w:id="12"/>
    </w:p>
    <w:p w14:paraId="5C0909D3" w14:textId="0BCF73F8" w:rsidR="00734427" w:rsidRDefault="00447039" w:rsidP="00F57A2A">
      <w:pPr>
        <w:pStyle w:val="BodyText"/>
      </w:pPr>
      <w:r>
        <w:rPr>
          <w:noProof/>
        </w:rPr>
        <w:lastRenderedPageBreak/>
        <w:drawing>
          <wp:inline distT="0" distB="0" distL="0" distR="0" wp14:anchorId="4E8ADB37" wp14:editId="780C71B0">
            <wp:extent cx="6210000" cy="1814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0000" cy="1814400"/>
                    </a:xfrm>
                    <a:prstGeom prst="rect">
                      <a:avLst/>
                    </a:prstGeom>
                    <a:noFill/>
                  </pic:spPr>
                </pic:pic>
              </a:graphicData>
            </a:graphic>
          </wp:inline>
        </w:drawing>
      </w:r>
    </w:p>
    <w:p w14:paraId="7EA18A4F" w14:textId="18B4314D" w:rsidR="00447039" w:rsidRDefault="00447039" w:rsidP="005D17A6">
      <w:pPr>
        <w:pStyle w:val="Caption"/>
      </w:pPr>
      <w:bookmarkStart w:id="13" w:name="_Ref505947610"/>
      <w:r>
        <w:t xml:space="preserve">Figure </w:t>
      </w:r>
      <w:r>
        <w:fldChar w:fldCharType="begin"/>
      </w:r>
      <w:r>
        <w:instrText xml:space="preserve"> SEQ Figure \* ARABIC </w:instrText>
      </w:r>
      <w:r>
        <w:fldChar w:fldCharType="separate"/>
      </w:r>
      <w:r>
        <w:rPr>
          <w:noProof/>
        </w:rPr>
        <w:t>2</w:t>
      </w:r>
      <w:r>
        <w:fldChar w:fldCharType="end"/>
      </w:r>
      <w:bookmarkEnd w:id="13"/>
      <w:r w:rsidR="00DD3481">
        <w:t>. Multiple preamble transmissions</w:t>
      </w:r>
    </w:p>
    <w:p w14:paraId="4E2D1F5A" w14:textId="44CD15A6" w:rsidR="00DD3D00" w:rsidRDefault="00DD3D00" w:rsidP="005D17A6">
      <w:pPr>
        <w:pStyle w:val="Heading2"/>
      </w:pPr>
      <w:r>
        <w:t>PRACH resources for multiple preamble transmissions</w:t>
      </w:r>
    </w:p>
    <w:p w14:paraId="23F849F0" w14:textId="4E312389" w:rsidR="00F57A2A" w:rsidRPr="00D375B5" w:rsidRDefault="00F57A2A" w:rsidP="00F57A2A">
      <w:pPr>
        <w:pStyle w:val="BodyText"/>
      </w:pPr>
      <w:r w:rsidRPr="00D375B5">
        <w:t xml:space="preserve">In contention free RA it is possible to dedicate both preambles and PRACH resources to a specific UE. Another option is to configure common </w:t>
      </w:r>
      <w:r w:rsidRPr="00460D26">
        <w:t xml:space="preserve">PRACH resources for multiple preamble transmissions that may only be used by UEs which have been configured with a dedicated preamble for multiple preamble transmissions. This would be similar to the case of Beam failure recovery using random access where special PRACH resources are used. This configuration could be done by adding a new </w:t>
      </w:r>
      <w:r w:rsidRPr="00460D26">
        <w:rPr>
          <w:i/>
        </w:rPr>
        <w:t>prach-ConfigurationIndex-Multiplepreambles</w:t>
      </w:r>
      <w:r w:rsidRPr="00460D26">
        <w:t xml:space="preserve"> in the RACH Config Common IE.</w:t>
      </w:r>
    </w:p>
    <w:p w14:paraId="0739398F" w14:textId="77777777" w:rsidR="00F57A2A" w:rsidRPr="00D375B5" w:rsidRDefault="00F57A2A" w:rsidP="00F57A2A">
      <w:pPr>
        <w:pStyle w:val="BodyText"/>
      </w:pPr>
      <w:r w:rsidRPr="00D375B5">
        <w:t>By using a special set of PRACH resources and a dedicated preamble for Random Access with multiple preamble transmissions, the gNB knows which preambles belong to the same UE/RA attempt and the impact on UEs not needing multiple preamble transmissions (e.g. UEs supporting Rx/Tx reciprocity) is minimized.</w:t>
      </w:r>
    </w:p>
    <w:p w14:paraId="0B3604B9" w14:textId="22F42FA7" w:rsidR="00EB41D4" w:rsidRDefault="00F57A2A" w:rsidP="00F57A2A">
      <w:pPr>
        <w:pStyle w:val="Proposal"/>
      </w:pPr>
      <w:bookmarkStart w:id="14" w:name="_Toc480871675"/>
      <w:bookmarkStart w:id="15" w:name="_Toc481061700"/>
      <w:bookmarkStart w:id="16" w:name="_Toc481130526"/>
      <w:bookmarkStart w:id="17" w:name="_Toc481140926"/>
      <w:bookmarkStart w:id="18" w:name="_Toc481505913"/>
      <w:bookmarkStart w:id="19" w:name="_Toc481684477"/>
      <w:bookmarkStart w:id="20" w:name="_Toc481759047"/>
      <w:bookmarkStart w:id="21" w:name="_Toc481867192"/>
      <w:bookmarkStart w:id="22" w:name="_Toc484002739"/>
      <w:bookmarkStart w:id="23" w:name="_Toc484587574"/>
      <w:bookmarkStart w:id="24" w:name="_Toc484674233"/>
      <w:bookmarkStart w:id="25" w:name="_Toc484674268"/>
      <w:bookmarkStart w:id="26" w:name="_Toc484674413"/>
      <w:bookmarkStart w:id="27" w:name="_Toc484692697"/>
      <w:bookmarkStart w:id="28" w:name="_Toc485311242"/>
      <w:bookmarkStart w:id="29" w:name="_Toc485311273"/>
      <w:bookmarkStart w:id="30" w:name="_Toc485401933"/>
      <w:bookmarkStart w:id="31" w:name="_Toc502646085"/>
      <w:bookmarkStart w:id="32" w:name="_Toc503271839"/>
      <w:bookmarkStart w:id="33" w:name="_Toc503369250"/>
      <w:bookmarkStart w:id="34" w:name="_Toc503448241"/>
      <w:bookmarkStart w:id="35" w:name="_Toc503448330"/>
      <w:bookmarkStart w:id="36" w:name="_Toc505695754"/>
      <w:bookmarkStart w:id="37" w:name="_Toc505696041"/>
      <w:bookmarkStart w:id="38" w:name="_Toc505949951"/>
      <w:bookmarkStart w:id="39" w:name="_Toc506467886"/>
      <w:r w:rsidRPr="00D375B5">
        <w:t>A special set of PRACH time and frequency resources is configured for multiple preamble transmissions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D375B5">
        <w:t>.</w:t>
      </w:r>
      <w:bookmarkEnd w:id="29"/>
      <w:bookmarkEnd w:id="30"/>
      <w:bookmarkEnd w:id="31"/>
      <w:bookmarkEnd w:id="32"/>
      <w:bookmarkEnd w:id="33"/>
      <w:bookmarkEnd w:id="34"/>
      <w:bookmarkEnd w:id="35"/>
      <w:bookmarkEnd w:id="36"/>
      <w:bookmarkEnd w:id="37"/>
      <w:bookmarkEnd w:id="38"/>
      <w:bookmarkEnd w:id="39"/>
    </w:p>
    <w:p w14:paraId="2B4B199D" w14:textId="32B1BC0C" w:rsidR="00D73BE4" w:rsidRDefault="00DD3D00">
      <w:pPr>
        <w:pStyle w:val="BodyText"/>
      </w:pPr>
      <w:r>
        <w:t xml:space="preserve">Using a separate set of </w:t>
      </w:r>
      <w:r w:rsidR="00EB41D4" w:rsidRPr="00D375B5">
        <w:t xml:space="preserve">PRACH resources for multiple preamble transmissions </w:t>
      </w:r>
      <w:r>
        <w:t xml:space="preserve">would be beneficial since they could be configured differently compared to the PRACH resources for single preamble transmissions, taking the needs for the different use cases into account. For example, for multiple preamble transmissions. </w:t>
      </w:r>
      <w:r w:rsidR="00EB41D4" w:rsidRPr="00D375B5">
        <w:t xml:space="preserve">should be specified with a repetitive pattern with a tight spacing of the repetitions. </w:t>
      </w:r>
      <w:bookmarkStart w:id="40" w:name="_Toc484674234"/>
      <w:bookmarkStart w:id="41" w:name="_Toc484674269"/>
      <w:bookmarkStart w:id="42" w:name="_Toc484674414"/>
      <w:bookmarkStart w:id="43" w:name="_Toc484692698"/>
      <w:bookmarkStart w:id="44" w:name="_Toc480871676"/>
      <w:bookmarkStart w:id="45" w:name="_Toc481061701"/>
      <w:bookmarkStart w:id="46" w:name="_Toc481130527"/>
      <w:bookmarkStart w:id="47" w:name="_Toc481140927"/>
      <w:bookmarkStart w:id="48" w:name="_Toc481505914"/>
      <w:bookmarkStart w:id="49" w:name="_Toc481684478"/>
      <w:bookmarkStart w:id="50" w:name="_Toc481759048"/>
      <w:bookmarkStart w:id="51" w:name="_Toc481867193"/>
      <w:bookmarkStart w:id="52" w:name="_Toc484002740"/>
      <w:bookmarkStart w:id="53" w:name="_Toc484587575"/>
      <w:bookmarkStart w:id="54" w:name="_Toc484674235"/>
      <w:bookmarkStart w:id="55" w:name="_Toc484674270"/>
      <w:bookmarkStart w:id="56" w:name="_Toc484674415"/>
      <w:bookmarkStart w:id="57" w:name="_Toc484692699"/>
      <w:bookmarkStart w:id="58" w:name="_Toc485311243"/>
      <w:bookmarkStart w:id="59" w:name="_Toc485311274"/>
      <w:bookmarkStart w:id="60" w:name="_Toc485401934"/>
      <w:bookmarkEnd w:id="40"/>
      <w:bookmarkEnd w:id="41"/>
      <w:bookmarkEnd w:id="42"/>
      <w:bookmarkEnd w:id="43"/>
    </w:p>
    <w:p w14:paraId="0AD353D8" w14:textId="4D3A2720" w:rsidR="00DD3D00" w:rsidRDefault="00DD3D00" w:rsidP="0052169D">
      <w:pPr>
        <w:pStyle w:val="Heading2"/>
      </w:pPr>
      <w:r>
        <w:t>Parameters for multiple preamble transmissions</w:t>
      </w:r>
    </w:p>
    <w:p w14:paraId="61624AD1" w14:textId="32A54807" w:rsidR="00EB41D4" w:rsidRPr="00D375B5" w:rsidRDefault="00EB41D4" w:rsidP="00EB41D4">
      <w:pPr>
        <w:pStyle w:val="BodyText"/>
      </w:pPr>
      <w:r w:rsidRPr="00D375B5">
        <w:t>The configuration for multiple preamble transmissions should also include the number of consecutive preamble transmissions occasions the UE can use. This would correspond to the number of different UL beams the UE can try and this also has an impact on the length of the RAR window, since the gNB must have time to transmit the RAR after the last preamble transmission before the RAR window expires.</w:t>
      </w:r>
      <w:r w:rsidR="00D73BE4">
        <w:t xml:space="preserve"> It should be observed that depending on how the </w:t>
      </w:r>
      <w:r w:rsidR="00DD3D00">
        <w:t xml:space="preserve">Rach </w:t>
      </w:r>
      <w:r w:rsidR="00D73BE4">
        <w:t>O</w:t>
      </w:r>
      <w:r w:rsidR="00DD3D00">
        <w:t>ccasions (RO)</w:t>
      </w:r>
      <w:r w:rsidR="00D73BE4">
        <w:t xml:space="preserve"> are configured, the gNB may not be able to determine which of the preamble transmissions it has detected. In this case the gNB must  be </w:t>
      </w:r>
      <w:r w:rsidR="00DD3D00">
        <w:t xml:space="preserve">able to deduce </w:t>
      </w:r>
      <w:r w:rsidR="00D73BE4">
        <w:t xml:space="preserve">of how long the RAR window </w:t>
      </w:r>
      <w:r w:rsidR="00DD3D00">
        <w:t xml:space="preserve">extends </w:t>
      </w:r>
      <w:r w:rsidR="00D73BE4">
        <w:t xml:space="preserve">after the last preamble transmission, </w:t>
      </w:r>
      <w:r w:rsidR="00DD3D00">
        <w:t>to be sure to</w:t>
      </w:r>
      <w:r w:rsidR="00D73BE4">
        <w:t xml:space="preserve"> transmit the RAR before the RAR window expires.</w:t>
      </w:r>
    </w:p>
    <w:p w14:paraId="12DD2452" w14:textId="77777777" w:rsidR="00EB41D4" w:rsidRPr="00D375B5" w:rsidRDefault="00EB41D4" w:rsidP="00EB41D4">
      <w:pPr>
        <w:pStyle w:val="Proposal"/>
        <w:overflowPunct/>
        <w:autoSpaceDE/>
        <w:autoSpaceDN/>
        <w:adjustRightInd/>
        <w:spacing w:after="160" w:line="259" w:lineRule="auto"/>
        <w:jc w:val="left"/>
        <w:textAlignment w:val="auto"/>
      </w:pPr>
      <w:bookmarkStart w:id="61" w:name="_Toc502646086"/>
      <w:bookmarkStart w:id="62" w:name="_Toc503271840"/>
      <w:bookmarkStart w:id="63" w:name="_Toc503369251"/>
      <w:bookmarkStart w:id="64" w:name="_Toc503448242"/>
      <w:bookmarkStart w:id="65" w:name="_Toc503448331"/>
      <w:bookmarkStart w:id="66" w:name="_Toc505695755"/>
      <w:bookmarkStart w:id="67" w:name="_Toc505696042"/>
      <w:bookmarkStart w:id="68" w:name="_Toc505949952"/>
      <w:bookmarkStart w:id="69" w:name="_Toc506467887"/>
      <w:r w:rsidRPr="00D375B5">
        <w:t>The RACH configuration includes the number of consecutive preamble transmissions th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D375B5">
        <w:t>e UE can send.</w:t>
      </w:r>
      <w:bookmarkEnd w:id="59"/>
      <w:bookmarkEnd w:id="60"/>
      <w:bookmarkEnd w:id="61"/>
      <w:bookmarkEnd w:id="62"/>
      <w:bookmarkEnd w:id="63"/>
      <w:bookmarkEnd w:id="64"/>
      <w:bookmarkEnd w:id="65"/>
      <w:bookmarkEnd w:id="66"/>
      <w:bookmarkEnd w:id="67"/>
      <w:bookmarkEnd w:id="68"/>
      <w:bookmarkEnd w:id="69"/>
    </w:p>
    <w:p w14:paraId="0CD4CCEC" w14:textId="202B7D87" w:rsidR="00EB41D4" w:rsidRDefault="00EB41D4" w:rsidP="00E37B06">
      <w:pPr>
        <w:pStyle w:val="BodyText"/>
      </w:pPr>
      <w:r w:rsidRPr="00D375B5">
        <w:t xml:space="preserve">Similar to the case with single preamble transmission, the RAR window length should be configurable. As there is one RAR window to handle all multiple preamble transmissions this would typically need to be longer than for an ordinary single preamble transmission. Depending on the number possible consecutive transmissions </w:t>
      </w:r>
      <w:r w:rsidR="00D73BE4">
        <w:t xml:space="preserve">and how the RO </w:t>
      </w:r>
      <w:r w:rsidRPr="00D375B5">
        <w:t>are configured, the length may be different. This means that it is not efficient or possible to use the same parameter ra-ResponseWindowSize that is used for ordinary PRACH transmissions. Hence, we propose to use a new ra-ResponseWindowSize for multiple preamble transmissions. In case several PRACH resource configurations are valid in a cell, we think that each PRACH configuration could have its own ra-ResponseWindowSize.</w:t>
      </w:r>
    </w:p>
    <w:p w14:paraId="1EDC0542" w14:textId="42401207" w:rsidR="00287838" w:rsidRPr="00A04F49" w:rsidRDefault="00E37B06" w:rsidP="00F57A2A">
      <w:pPr>
        <w:pStyle w:val="Proposal"/>
      </w:pPr>
      <w:bookmarkStart w:id="70" w:name="_Toc505695757"/>
      <w:bookmarkStart w:id="71" w:name="_Toc505696043"/>
      <w:bookmarkStart w:id="72" w:name="_Toc505949953"/>
      <w:bookmarkStart w:id="73" w:name="_Toc506467888"/>
      <w:r w:rsidRPr="00D375B5">
        <w:t xml:space="preserve">In case of multiple PRACH resource configurations in a cell, the RAR window length is configurable by a new </w:t>
      </w:r>
      <w:r w:rsidRPr="00D375B5">
        <w:rPr>
          <w:i/>
          <w:noProof/>
        </w:rPr>
        <w:t xml:space="preserve">ra-ResponseWindowSize </w:t>
      </w:r>
      <w:r w:rsidRPr="00D375B5">
        <w:rPr>
          <w:noProof/>
        </w:rPr>
        <w:t>for the Multiple preamble PRACH configuration</w:t>
      </w:r>
      <w:bookmarkEnd w:id="2"/>
      <w:bookmarkEnd w:id="3"/>
      <w:r w:rsidR="00CC2011" w:rsidRPr="00A04F49">
        <w:t>.</w:t>
      </w:r>
      <w:bookmarkEnd w:id="4"/>
      <w:bookmarkEnd w:id="5"/>
      <w:bookmarkEnd w:id="6"/>
      <w:bookmarkEnd w:id="70"/>
      <w:bookmarkEnd w:id="71"/>
      <w:bookmarkEnd w:id="72"/>
      <w:bookmarkEnd w:id="73"/>
    </w:p>
    <w:p w14:paraId="2CE3D95C" w14:textId="77777777" w:rsidR="00C01F33" w:rsidRPr="00CE0424" w:rsidRDefault="00C01F33" w:rsidP="00CE0424">
      <w:pPr>
        <w:pStyle w:val="Heading1"/>
      </w:pPr>
      <w:r w:rsidRPr="00CE0424">
        <w:lastRenderedPageBreak/>
        <w:t>Conclusion</w:t>
      </w:r>
    </w:p>
    <w:p w14:paraId="7DFE30B8" w14:textId="074E0331" w:rsidR="00266230" w:rsidRPr="00460D26" w:rsidRDefault="008E065E">
      <w:pPr>
        <w:pStyle w:val="TOC1"/>
        <w:rPr>
          <w:b w:val="0"/>
        </w:rPr>
      </w:pPr>
      <w:r w:rsidRPr="00460D26">
        <w:rPr>
          <w:b w:val="0"/>
        </w:rPr>
        <w:t xml:space="preserve">In section </w:t>
      </w:r>
      <w:r w:rsidRPr="00460D26">
        <w:rPr>
          <w:b w:val="0"/>
          <w:highlight w:val="cyan"/>
        </w:rPr>
        <w:fldChar w:fldCharType="begin"/>
      </w:r>
      <w:r w:rsidRPr="00460D26">
        <w:rPr>
          <w:b w:val="0"/>
        </w:rPr>
        <w:instrText xml:space="preserve"> REF _Ref178064866 \r \h </w:instrText>
      </w:r>
      <w:r w:rsidRPr="00460D26">
        <w:rPr>
          <w:b w:val="0"/>
          <w:highlight w:val="cyan"/>
        </w:rPr>
      </w:r>
      <w:r w:rsidR="00460D26">
        <w:rPr>
          <w:b w:val="0"/>
          <w:highlight w:val="cyan"/>
        </w:rPr>
        <w:instrText xml:space="preserve"> \* MERGEFORMAT </w:instrText>
      </w:r>
      <w:r w:rsidRPr="00460D26">
        <w:rPr>
          <w:b w:val="0"/>
          <w:highlight w:val="cyan"/>
        </w:rPr>
        <w:fldChar w:fldCharType="separate"/>
      </w:r>
      <w:r w:rsidR="00656E64" w:rsidRPr="00460D26">
        <w:rPr>
          <w:b w:val="0"/>
        </w:rPr>
        <w:t>2</w:t>
      </w:r>
      <w:r w:rsidRPr="00460D26">
        <w:rPr>
          <w:b w:val="0"/>
          <w:highlight w:val="cyan"/>
        </w:rPr>
        <w:fldChar w:fldCharType="end"/>
      </w:r>
      <w:r w:rsidRPr="00460D26">
        <w:rPr>
          <w:b w:val="0"/>
        </w:rPr>
        <w:t xml:space="preserve"> we made the following observations:</w:t>
      </w:r>
    </w:p>
    <w:p w14:paraId="2CDA621F" w14:textId="77777777" w:rsidR="00460D26" w:rsidRPr="00460D26"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460D26">
        <w:t>Observation 1</w:t>
      </w:r>
      <w:r w:rsidR="00460D26" w:rsidRPr="00460D26">
        <w:rPr>
          <w:rFonts w:asciiTheme="minorHAnsi" w:eastAsiaTheme="minorEastAsia" w:hAnsiTheme="minorHAnsi" w:cstheme="minorBidi"/>
          <w:b w:val="0"/>
          <w:sz w:val="22"/>
        </w:rPr>
        <w:tab/>
      </w:r>
      <w:r w:rsidR="00460D26">
        <w:t>Depending on configuration, multiple preamble transmissions can give large gains for the time needed to perform an UL beam sweep, compared to single preamble transmissions.</w:t>
      </w:r>
    </w:p>
    <w:p w14:paraId="50D50E08" w14:textId="162F3A40" w:rsidR="008E065E" w:rsidRDefault="008E065E" w:rsidP="008E065E">
      <w:pPr>
        <w:pStyle w:val="BodyText"/>
        <w:rPr>
          <w:b/>
          <w:bCs/>
        </w:rPr>
      </w:pPr>
      <w:r>
        <w:rPr>
          <w:b/>
          <w:bCs/>
        </w:rPr>
        <w:fldChar w:fldCharType="end"/>
      </w:r>
    </w:p>
    <w:p w14:paraId="4F371E8A" w14:textId="475FB798" w:rsidR="00A8047B" w:rsidRPr="00460D26" w:rsidRDefault="008E065E">
      <w:pPr>
        <w:pStyle w:val="TOC1"/>
        <w:rPr>
          <w:b w:val="0"/>
        </w:rPr>
      </w:pPr>
      <w:r w:rsidRPr="00460D26">
        <w:rPr>
          <w:b w:val="0"/>
        </w:rPr>
        <w:t xml:space="preserve">Based on the discussion in section </w:t>
      </w:r>
      <w:r w:rsidRPr="00460D26">
        <w:rPr>
          <w:b w:val="0"/>
          <w:highlight w:val="cyan"/>
        </w:rPr>
        <w:fldChar w:fldCharType="begin"/>
      </w:r>
      <w:r w:rsidRPr="00460D26">
        <w:rPr>
          <w:b w:val="0"/>
        </w:rPr>
        <w:instrText xml:space="preserve"> REF _Ref178064866 \r \h </w:instrText>
      </w:r>
      <w:r w:rsidRPr="00460D26">
        <w:rPr>
          <w:b w:val="0"/>
          <w:highlight w:val="cyan"/>
        </w:rPr>
      </w:r>
      <w:r w:rsidR="00460D26">
        <w:rPr>
          <w:b w:val="0"/>
          <w:highlight w:val="cyan"/>
        </w:rPr>
        <w:instrText xml:space="preserve"> \* MERGEFORMAT </w:instrText>
      </w:r>
      <w:r w:rsidRPr="00460D26">
        <w:rPr>
          <w:b w:val="0"/>
          <w:highlight w:val="cyan"/>
        </w:rPr>
        <w:fldChar w:fldCharType="separate"/>
      </w:r>
      <w:r w:rsidR="00656E64" w:rsidRPr="00460D26">
        <w:rPr>
          <w:b w:val="0"/>
        </w:rPr>
        <w:t>2</w:t>
      </w:r>
      <w:r w:rsidRPr="00460D26">
        <w:rPr>
          <w:b w:val="0"/>
          <w:highlight w:val="cyan"/>
        </w:rPr>
        <w:fldChar w:fldCharType="end"/>
      </w:r>
      <w:r w:rsidRPr="00460D26">
        <w:rPr>
          <w:b w:val="0"/>
        </w:rPr>
        <w:t xml:space="preserve"> we propose the following:</w:t>
      </w:r>
    </w:p>
    <w:p w14:paraId="35C3FC98" w14:textId="77777777" w:rsidR="00460D26" w:rsidRPr="00460D26"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460D26">
        <w:t>Proposal 1</w:t>
      </w:r>
      <w:r w:rsidR="00460D26" w:rsidRPr="00460D26">
        <w:rPr>
          <w:rFonts w:asciiTheme="minorHAnsi" w:eastAsiaTheme="minorEastAsia" w:hAnsiTheme="minorHAnsi" w:cstheme="minorBidi"/>
          <w:b w:val="0"/>
          <w:sz w:val="22"/>
        </w:rPr>
        <w:tab/>
      </w:r>
      <w:r w:rsidR="00460D26">
        <w:t>A special set of PRACH time and frequency resources is configured for multiple preamble transmissions.</w:t>
      </w:r>
    </w:p>
    <w:p w14:paraId="3ABE1767" w14:textId="77777777" w:rsidR="00460D26" w:rsidRPr="00460D26" w:rsidRDefault="00460D26">
      <w:pPr>
        <w:pStyle w:val="TOC1"/>
        <w:rPr>
          <w:rFonts w:asciiTheme="minorHAnsi" w:eastAsiaTheme="minorEastAsia" w:hAnsiTheme="minorHAnsi" w:cstheme="minorBidi"/>
          <w:b w:val="0"/>
          <w:sz w:val="22"/>
        </w:rPr>
      </w:pPr>
      <w:r>
        <w:t>Proposal 2</w:t>
      </w:r>
      <w:r w:rsidRPr="00460D26">
        <w:rPr>
          <w:rFonts w:asciiTheme="minorHAnsi" w:eastAsiaTheme="minorEastAsia" w:hAnsiTheme="minorHAnsi" w:cstheme="minorBidi"/>
          <w:b w:val="0"/>
          <w:sz w:val="22"/>
        </w:rPr>
        <w:tab/>
      </w:r>
      <w:r>
        <w:t>The RACH configuration includes the number of consecutive preamble transmissions the UE can send.</w:t>
      </w:r>
    </w:p>
    <w:p w14:paraId="2994AF7F" w14:textId="77777777" w:rsidR="00460D26" w:rsidRPr="00460D26" w:rsidRDefault="00460D26">
      <w:pPr>
        <w:pStyle w:val="TOC1"/>
        <w:rPr>
          <w:rFonts w:asciiTheme="minorHAnsi" w:eastAsiaTheme="minorEastAsia" w:hAnsiTheme="minorHAnsi" w:cstheme="minorBidi"/>
          <w:b w:val="0"/>
          <w:sz w:val="22"/>
        </w:rPr>
      </w:pPr>
      <w:r>
        <w:t>Proposal 3</w:t>
      </w:r>
      <w:r w:rsidRPr="00460D26">
        <w:rPr>
          <w:rFonts w:asciiTheme="minorHAnsi" w:eastAsiaTheme="minorEastAsia" w:hAnsiTheme="minorHAnsi" w:cstheme="minorBidi"/>
          <w:b w:val="0"/>
          <w:sz w:val="22"/>
        </w:rPr>
        <w:tab/>
      </w:r>
      <w:r>
        <w:t xml:space="preserve">In case of multiple PRACH resource configurations in a cell, the RAR window length is configurable by a new </w:t>
      </w:r>
      <w:r w:rsidRPr="004939A8">
        <w:rPr>
          <w:i/>
        </w:rPr>
        <w:t xml:space="preserve">ra-ResponseWindowSize </w:t>
      </w:r>
      <w:r>
        <w:t>for the Multiple preamble PRACH configuration.</w:t>
      </w:r>
    </w:p>
    <w:p w14:paraId="24023AB5" w14:textId="0F6877AE" w:rsidR="008E065E" w:rsidRPr="00CE0424" w:rsidRDefault="008E065E" w:rsidP="008E065E">
      <w:pPr>
        <w:rPr>
          <w:b/>
          <w:bCs/>
        </w:rPr>
      </w:pPr>
      <w:r>
        <w:rPr>
          <w:b/>
          <w:bCs/>
        </w:rPr>
        <w:fldChar w:fldCharType="end"/>
      </w:r>
    </w:p>
    <w:p w14:paraId="260B2D9E" w14:textId="77777777" w:rsidR="00F507D1" w:rsidRPr="00CE0424" w:rsidRDefault="00F507D1" w:rsidP="00CE0424">
      <w:pPr>
        <w:pStyle w:val="Heading1"/>
      </w:pPr>
      <w:bookmarkStart w:id="74" w:name="_In-sequence_SDU_delivery"/>
      <w:bookmarkEnd w:id="74"/>
      <w:r w:rsidRPr="00CE0424">
        <w:t>References</w:t>
      </w:r>
    </w:p>
    <w:p w14:paraId="18E18E17" w14:textId="60184E2B" w:rsidR="0024464E" w:rsidRPr="00CE0424" w:rsidRDefault="0024464E" w:rsidP="00311702">
      <w:pPr>
        <w:pStyle w:val="Reference"/>
      </w:pPr>
      <w:bookmarkStart w:id="75" w:name="_Ref174151459"/>
      <w:bookmarkStart w:id="76" w:name="_Ref189809556"/>
      <w:bookmarkStart w:id="77" w:name="_Ref506129236"/>
      <w:r w:rsidRPr="00460D26">
        <w:t>38.211, Physical channels and modulation, V15.0.0 (2017-12)</w:t>
      </w:r>
      <w:bookmarkEnd w:id="77"/>
    </w:p>
    <w:bookmarkEnd w:id="75"/>
    <w:bookmarkEnd w:id="76"/>
    <w:p w14:paraId="1BF6B041"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A1AEB" w14:textId="77777777" w:rsidR="009E266A" w:rsidRDefault="009E266A">
      <w:r>
        <w:separator/>
      </w:r>
    </w:p>
  </w:endnote>
  <w:endnote w:type="continuationSeparator" w:id="0">
    <w:p w14:paraId="328922E5" w14:textId="77777777" w:rsidR="009E266A" w:rsidRDefault="009E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7E47" w14:textId="678146F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0D2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0D2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AAB63" w14:textId="77777777" w:rsidR="009E266A" w:rsidRDefault="009E266A">
      <w:r>
        <w:separator/>
      </w:r>
    </w:p>
  </w:footnote>
  <w:footnote w:type="continuationSeparator" w:id="0">
    <w:p w14:paraId="2D8158EE" w14:textId="77777777" w:rsidR="009E266A" w:rsidRDefault="009E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05A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B408B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AECA2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B7EFFC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E64"/>
    <w:rsid w:val="000006E1"/>
    <w:rsid w:val="00002A37"/>
    <w:rsid w:val="000039F4"/>
    <w:rsid w:val="00006446"/>
    <w:rsid w:val="00006896"/>
    <w:rsid w:val="00007CDC"/>
    <w:rsid w:val="00011B28"/>
    <w:rsid w:val="000120F0"/>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371"/>
    <w:rsid w:val="000A56F2"/>
    <w:rsid w:val="000B2719"/>
    <w:rsid w:val="000B3A8F"/>
    <w:rsid w:val="000B4AB9"/>
    <w:rsid w:val="000B58C3"/>
    <w:rsid w:val="000B61E9"/>
    <w:rsid w:val="000C165A"/>
    <w:rsid w:val="000C2E19"/>
    <w:rsid w:val="000D0D07"/>
    <w:rsid w:val="000D4797"/>
    <w:rsid w:val="000E0527"/>
    <w:rsid w:val="000E1E92"/>
    <w:rsid w:val="000E4AA1"/>
    <w:rsid w:val="000F030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5F00"/>
    <w:rsid w:val="001C1CE5"/>
    <w:rsid w:val="001C3D2A"/>
    <w:rsid w:val="001D51BA"/>
    <w:rsid w:val="001D6342"/>
    <w:rsid w:val="001D6D53"/>
    <w:rsid w:val="001E4B8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64E"/>
    <w:rsid w:val="002458EB"/>
    <w:rsid w:val="002500C8"/>
    <w:rsid w:val="00256492"/>
    <w:rsid w:val="00257543"/>
    <w:rsid w:val="002617E7"/>
    <w:rsid w:val="00264228"/>
    <w:rsid w:val="00264334"/>
    <w:rsid w:val="0026473E"/>
    <w:rsid w:val="00266214"/>
    <w:rsid w:val="00266230"/>
    <w:rsid w:val="00267C83"/>
    <w:rsid w:val="0027144F"/>
    <w:rsid w:val="00271F3A"/>
    <w:rsid w:val="00273278"/>
    <w:rsid w:val="002737F4"/>
    <w:rsid w:val="002805F5"/>
    <w:rsid w:val="00280751"/>
    <w:rsid w:val="0028280A"/>
    <w:rsid w:val="00285F1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065F"/>
    <w:rsid w:val="0035491B"/>
    <w:rsid w:val="00357380"/>
    <w:rsid w:val="003602D9"/>
    <w:rsid w:val="003604CE"/>
    <w:rsid w:val="00370E47"/>
    <w:rsid w:val="003742AC"/>
    <w:rsid w:val="00377CE1"/>
    <w:rsid w:val="00385BF0"/>
    <w:rsid w:val="003939FF"/>
    <w:rsid w:val="00397FE4"/>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1252"/>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3B6"/>
    <w:rsid w:val="00444F56"/>
    <w:rsid w:val="00446488"/>
    <w:rsid w:val="00447039"/>
    <w:rsid w:val="004517AA"/>
    <w:rsid w:val="00452CAC"/>
    <w:rsid w:val="00457565"/>
    <w:rsid w:val="00457B71"/>
    <w:rsid w:val="00460D26"/>
    <w:rsid w:val="004669E2"/>
    <w:rsid w:val="00470C31"/>
    <w:rsid w:val="004734D0"/>
    <w:rsid w:val="0047556B"/>
    <w:rsid w:val="00477768"/>
    <w:rsid w:val="00492BC5"/>
    <w:rsid w:val="004964F1"/>
    <w:rsid w:val="004A16BC"/>
    <w:rsid w:val="004A2B94"/>
    <w:rsid w:val="004B25DC"/>
    <w:rsid w:val="004B7C0C"/>
    <w:rsid w:val="004C2DB9"/>
    <w:rsid w:val="004C3898"/>
    <w:rsid w:val="004D04D3"/>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69D"/>
    <w:rsid w:val="005219CF"/>
    <w:rsid w:val="00534B59"/>
    <w:rsid w:val="00536759"/>
    <w:rsid w:val="00537C62"/>
    <w:rsid w:val="00537D51"/>
    <w:rsid w:val="00546970"/>
    <w:rsid w:val="00554E19"/>
    <w:rsid w:val="0056121F"/>
    <w:rsid w:val="00572505"/>
    <w:rsid w:val="00582809"/>
    <w:rsid w:val="0058798C"/>
    <w:rsid w:val="005900FA"/>
    <w:rsid w:val="005935A4"/>
    <w:rsid w:val="005948C2"/>
    <w:rsid w:val="00595DCA"/>
    <w:rsid w:val="0059779B"/>
    <w:rsid w:val="005A209A"/>
    <w:rsid w:val="005A662D"/>
    <w:rsid w:val="005B1FA2"/>
    <w:rsid w:val="005B35D7"/>
    <w:rsid w:val="005B392A"/>
    <w:rsid w:val="005B3AA3"/>
    <w:rsid w:val="005B591A"/>
    <w:rsid w:val="005B6F83"/>
    <w:rsid w:val="005C74FB"/>
    <w:rsid w:val="005D1602"/>
    <w:rsid w:val="005D17A6"/>
    <w:rsid w:val="005D6ED8"/>
    <w:rsid w:val="005E03C7"/>
    <w:rsid w:val="005E385F"/>
    <w:rsid w:val="005E5B81"/>
    <w:rsid w:val="005F2CB1"/>
    <w:rsid w:val="005F3025"/>
    <w:rsid w:val="005F618C"/>
    <w:rsid w:val="005F70BD"/>
    <w:rsid w:val="005F7A74"/>
    <w:rsid w:val="0060283C"/>
    <w:rsid w:val="00604F14"/>
    <w:rsid w:val="00611B83"/>
    <w:rsid w:val="00613257"/>
    <w:rsid w:val="00620A71"/>
    <w:rsid w:val="00620D80"/>
    <w:rsid w:val="006234A6"/>
    <w:rsid w:val="00624D18"/>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E64"/>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6B"/>
    <w:rsid w:val="006E28B7"/>
    <w:rsid w:val="006E3310"/>
    <w:rsid w:val="006E4E39"/>
    <w:rsid w:val="006E565E"/>
    <w:rsid w:val="006E6645"/>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427"/>
    <w:rsid w:val="007348B1"/>
    <w:rsid w:val="007362A6"/>
    <w:rsid w:val="00736D7D"/>
    <w:rsid w:val="00740E58"/>
    <w:rsid w:val="007445A0"/>
    <w:rsid w:val="0074524B"/>
    <w:rsid w:val="00747D8B"/>
    <w:rsid w:val="00751228"/>
    <w:rsid w:val="007571E1"/>
    <w:rsid w:val="007604B2"/>
    <w:rsid w:val="00765281"/>
    <w:rsid w:val="007660C6"/>
    <w:rsid w:val="00766BAD"/>
    <w:rsid w:val="007730BD"/>
    <w:rsid w:val="007755F2"/>
    <w:rsid w:val="00776971"/>
    <w:rsid w:val="0078177E"/>
    <w:rsid w:val="0078304C"/>
    <w:rsid w:val="00783673"/>
    <w:rsid w:val="00785490"/>
    <w:rsid w:val="007925EA"/>
    <w:rsid w:val="00793CD8"/>
    <w:rsid w:val="00795C92"/>
    <w:rsid w:val="00796231"/>
    <w:rsid w:val="0079729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8E"/>
    <w:rsid w:val="007D5901"/>
    <w:rsid w:val="007D7526"/>
    <w:rsid w:val="007E4610"/>
    <w:rsid w:val="007E4715"/>
    <w:rsid w:val="007E505B"/>
    <w:rsid w:val="007E7091"/>
    <w:rsid w:val="0080038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449"/>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110"/>
    <w:rsid w:val="008F477F"/>
    <w:rsid w:val="009003DE"/>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85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66A"/>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47B"/>
    <w:rsid w:val="00A92879"/>
    <w:rsid w:val="00A9442A"/>
    <w:rsid w:val="00AA016F"/>
    <w:rsid w:val="00AA1ED6"/>
    <w:rsid w:val="00AA4A1B"/>
    <w:rsid w:val="00AA51D6"/>
    <w:rsid w:val="00AB0BC8"/>
    <w:rsid w:val="00AB11CA"/>
    <w:rsid w:val="00AB14D9"/>
    <w:rsid w:val="00AB4AB8"/>
    <w:rsid w:val="00AB655E"/>
    <w:rsid w:val="00AC007F"/>
    <w:rsid w:val="00AC2ECD"/>
    <w:rsid w:val="00AC3119"/>
    <w:rsid w:val="00AC49FB"/>
    <w:rsid w:val="00AC4FEE"/>
    <w:rsid w:val="00AC5A10"/>
    <w:rsid w:val="00AD0AA3"/>
    <w:rsid w:val="00AD3F94"/>
    <w:rsid w:val="00AD4A5A"/>
    <w:rsid w:val="00AE27AC"/>
    <w:rsid w:val="00AE3743"/>
    <w:rsid w:val="00AE40E0"/>
    <w:rsid w:val="00AE4DBA"/>
    <w:rsid w:val="00AE4F07"/>
    <w:rsid w:val="00AF03B3"/>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3E3"/>
    <w:rsid w:val="00B6188F"/>
    <w:rsid w:val="00B664C7"/>
    <w:rsid w:val="00B739F6"/>
    <w:rsid w:val="00B81A6C"/>
    <w:rsid w:val="00B85DE5"/>
    <w:rsid w:val="00B90F73"/>
    <w:rsid w:val="00B93B59"/>
    <w:rsid w:val="00B9406A"/>
    <w:rsid w:val="00BA2280"/>
    <w:rsid w:val="00BA2A08"/>
    <w:rsid w:val="00BA417C"/>
    <w:rsid w:val="00BA56D2"/>
    <w:rsid w:val="00BA76E0"/>
    <w:rsid w:val="00BB2A25"/>
    <w:rsid w:val="00BB51E9"/>
    <w:rsid w:val="00BC0FDC"/>
    <w:rsid w:val="00BC3053"/>
    <w:rsid w:val="00BC4D2E"/>
    <w:rsid w:val="00BD48AC"/>
    <w:rsid w:val="00BD5F1A"/>
    <w:rsid w:val="00BE1234"/>
    <w:rsid w:val="00BE2FA6"/>
    <w:rsid w:val="00BE333F"/>
    <w:rsid w:val="00BE64E1"/>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1CB4"/>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4EA"/>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3BE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481"/>
    <w:rsid w:val="00DD3D00"/>
    <w:rsid w:val="00DE5608"/>
    <w:rsid w:val="00DE58D0"/>
    <w:rsid w:val="00DE654F"/>
    <w:rsid w:val="00DF0B6E"/>
    <w:rsid w:val="00DF15E0"/>
    <w:rsid w:val="00DF37A0"/>
    <w:rsid w:val="00E04CB5"/>
    <w:rsid w:val="00E0650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B0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47"/>
    <w:rsid w:val="00EA7A41"/>
    <w:rsid w:val="00EB077B"/>
    <w:rsid w:val="00EB41D4"/>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02A"/>
    <w:rsid w:val="00F1463E"/>
    <w:rsid w:val="00F15FA5"/>
    <w:rsid w:val="00F209B7"/>
    <w:rsid w:val="00F2376F"/>
    <w:rsid w:val="00F243D8"/>
    <w:rsid w:val="00F30828"/>
    <w:rsid w:val="00F313D6"/>
    <w:rsid w:val="00F40F0C"/>
    <w:rsid w:val="00F4766C"/>
    <w:rsid w:val="00F507D1"/>
    <w:rsid w:val="00F519CE"/>
    <w:rsid w:val="00F51ADA"/>
    <w:rsid w:val="00F57A2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B9E"/>
    <w:rsid w:val="00FB6A6A"/>
    <w:rsid w:val="00FC7429"/>
    <w:rsid w:val="00FD07F6"/>
    <w:rsid w:val="00FD1EC8"/>
    <w:rsid w:val="00FD47ED"/>
    <w:rsid w:val="00FD74DB"/>
    <w:rsid w:val="00FD7660"/>
    <w:rsid w:val="00FE0655"/>
    <w:rsid w:val="00FE2365"/>
    <w:rsid w:val="00FE2E5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033CB"/>
  <w15:chartTrackingRefBased/>
  <w15:docId w15:val="{246F1B71-8F9C-4791-8F9E-C8EAAB0E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411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F41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F41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F4110"/>
    <w:pPr>
      <w:numPr>
        <w:ilvl w:val="2"/>
      </w:numPr>
      <w:spacing w:before="120"/>
      <w:outlineLvl w:val="2"/>
    </w:pPr>
    <w:rPr>
      <w:sz w:val="28"/>
      <w:szCs w:val="28"/>
    </w:rPr>
  </w:style>
  <w:style w:type="paragraph" w:styleId="Heading4">
    <w:name w:val="heading 4"/>
    <w:basedOn w:val="Heading3"/>
    <w:next w:val="Normal"/>
    <w:qFormat/>
    <w:rsid w:val="008F4110"/>
    <w:pPr>
      <w:numPr>
        <w:ilvl w:val="3"/>
      </w:numPr>
      <w:outlineLvl w:val="3"/>
    </w:pPr>
    <w:rPr>
      <w:sz w:val="24"/>
      <w:szCs w:val="24"/>
    </w:rPr>
  </w:style>
  <w:style w:type="paragraph" w:styleId="Heading5">
    <w:name w:val="heading 5"/>
    <w:basedOn w:val="Heading4"/>
    <w:next w:val="Normal"/>
    <w:qFormat/>
    <w:rsid w:val="008F4110"/>
    <w:pPr>
      <w:numPr>
        <w:ilvl w:val="4"/>
      </w:numPr>
      <w:outlineLvl w:val="4"/>
    </w:pPr>
    <w:rPr>
      <w:sz w:val="22"/>
      <w:szCs w:val="22"/>
    </w:rPr>
  </w:style>
  <w:style w:type="paragraph" w:styleId="Heading6">
    <w:name w:val="heading 6"/>
    <w:basedOn w:val="Normal"/>
    <w:next w:val="Normal"/>
    <w:qFormat/>
    <w:rsid w:val="008F4110"/>
    <w:pPr>
      <w:keepNext/>
      <w:keepLines/>
      <w:numPr>
        <w:ilvl w:val="5"/>
        <w:numId w:val="1"/>
      </w:numPr>
      <w:spacing w:before="120"/>
      <w:outlineLvl w:val="5"/>
    </w:pPr>
    <w:rPr>
      <w:rFonts w:cs="Arial"/>
    </w:rPr>
  </w:style>
  <w:style w:type="paragraph" w:styleId="Heading7">
    <w:name w:val="heading 7"/>
    <w:basedOn w:val="Normal"/>
    <w:next w:val="Normal"/>
    <w:qFormat/>
    <w:rsid w:val="008F4110"/>
    <w:pPr>
      <w:keepNext/>
      <w:keepLines/>
      <w:numPr>
        <w:ilvl w:val="6"/>
        <w:numId w:val="1"/>
      </w:numPr>
      <w:spacing w:before="120"/>
      <w:outlineLvl w:val="6"/>
    </w:pPr>
    <w:rPr>
      <w:rFonts w:cs="Arial"/>
    </w:rPr>
  </w:style>
  <w:style w:type="paragraph" w:styleId="Heading8">
    <w:name w:val="heading 8"/>
    <w:basedOn w:val="Heading7"/>
    <w:next w:val="Normal"/>
    <w:qFormat/>
    <w:rsid w:val="008F4110"/>
    <w:pPr>
      <w:numPr>
        <w:ilvl w:val="7"/>
      </w:numPr>
      <w:outlineLvl w:val="7"/>
    </w:pPr>
  </w:style>
  <w:style w:type="paragraph" w:styleId="Heading9">
    <w:name w:val="heading 9"/>
    <w:basedOn w:val="Heading8"/>
    <w:next w:val="Normal"/>
    <w:qFormat/>
    <w:rsid w:val="008F4110"/>
    <w:pPr>
      <w:numPr>
        <w:ilvl w:val="8"/>
      </w:numPr>
      <w:outlineLvl w:val="8"/>
    </w:pPr>
  </w:style>
  <w:style w:type="character" w:default="1" w:styleId="DefaultParagraphFont">
    <w:name w:val="Default Paragraph Font"/>
    <w:uiPriority w:val="1"/>
    <w:semiHidden/>
    <w:unhideWhenUsed/>
    <w:rsid w:val="008F41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110"/>
  </w:style>
  <w:style w:type="paragraph" w:styleId="TOC8">
    <w:name w:val="toc 8"/>
    <w:basedOn w:val="TOC1"/>
    <w:semiHidden/>
    <w:rsid w:val="008F4110"/>
    <w:pPr>
      <w:spacing w:before="180"/>
      <w:ind w:left="2693" w:hanging="2693"/>
    </w:pPr>
    <w:rPr>
      <w:b w:val="0"/>
      <w:bCs/>
    </w:rPr>
  </w:style>
  <w:style w:type="paragraph" w:styleId="TOC1">
    <w:name w:val="toc 1"/>
    <w:aliases w:val="Observation TOC2"/>
    <w:uiPriority w:val="39"/>
    <w:rsid w:val="008F41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F4110"/>
    <w:pPr>
      <w:keepNext/>
      <w:keepLines/>
      <w:spacing w:before="180"/>
      <w:jc w:val="center"/>
    </w:pPr>
  </w:style>
  <w:style w:type="paragraph" w:styleId="Caption">
    <w:name w:val="caption"/>
    <w:basedOn w:val="Normal"/>
    <w:next w:val="Normal"/>
    <w:qFormat/>
    <w:rsid w:val="008F4110"/>
    <w:pPr>
      <w:spacing w:after="240"/>
      <w:jc w:val="center"/>
    </w:pPr>
    <w:rPr>
      <w:b/>
      <w:bCs/>
    </w:rPr>
  </w:style>
  <w:style w:type="paragraph" w:styleId="TOC5">
    <w:name w:val="toc 5"/>
    <w:aliases w:val="Observation TOC"/>
    <w:basedOn w:val="TOC4"/>
    <w:semiHidden/>
    <w:rsid w:val="008F4110"/>
    <w:pPr>
      <w:tabs>
        <w:tab w:val="right" w:pos="1701"/>
      </w:tabs>
      <w:ind w:left="1701" w:hanging="1701"/>
    </w:pPr>
  </w:style>
  <w:style w:type="paragraph" w:styleId="TOC4">
    <w:name w:val="toc 4"/>
    <w:basedOn w:val="TOC3"/>
    <w:semiHidden/>
    <w:rsid w:val="008F4110"/>
    <w:pPr>
      <w:ind w:left="1418" w:hanging="1418"/>
    </w:pPr>
  </w:style>
  <w:style w:type="paragraph" w:styleId="TOC3">
    <w:name w:val="toc 3"/>
    <w:basedOn w:val="TOC2"/>
    <w:semiHidden/>
    <w:rsid w:val="008F4110"/>
    <w:pPr>
      <w:ind w:left="1134" w:hanging="1134"/>
    </w:pPr>
  </w:style>
  <w:style w:type="paragraph" w:styleId="TOC2">
    <w:name w:val="toc 2"/>
    <w:basedOn w:val="TOC1"/>
    <w:semiHidden/>
    <w:rsid w:val="008F4110"/>
    <w:pPr>
      <w:keepNext w:val="0"/>
      <w:spacing w:before="0"/>
      <w:ind w:left="851" w:hanging="851"/>
    </w:pPr>
    <w:rPr>
      <w:szCs w:val="20"/>
    </w:rPr>
  </w:style>
  <w:style w:type="paragraph" w:styleId="Index2">
    <w:name w:val="index 2"/>
    <w:basedOn w:val="Index1"/>
    <w:semiHidden/>
    <w:rsid w:val="008F4110"/>
    <w:pPr>
      <w:ind w:left="284"/>
    </w:pPr>
  </w:style>
  <w:style w:type="paragraph" w:styleId="Index1">
    <w:name w:val="index 1"/>
    <w:basedOn w:val="Normal"/>
    <w:semiHidden/>
    <w:rsid w:val="008F4110"/>
    <w:pPr>
      <w:keepLines/>
      <w:spacing w:after="0"/>
    </w:pPr>
  </w:style>
  <w:style w:type="paragraph" w:styleId="DocumentMap">
    <w:name w:val="Document Map"/>
    <w:basedOn w:val="Normal"/>
    <w:semiHidden/>
    <w:rsid w:val="008F4110"/>
    <w:pPr>
      <w:shd w:val="clear" w:color="auto" w:fill="000080"/>
    </w:pPr>
    <w:rPr>
      <w:rFonts w:ascii="Tahoma" w:hAnsi="Tahoma" w:cs="Tahoma"/>
    </w:rPr>
  </w:style>
  <w:style w:type="paragraph" w:styleId="ListNumber2">
    <w:name w:val="List Number 2"/>
    <w:basedOn w:val="ListNumber"/>
    <w:rsid w:val="008F4110"/>
    <w:pPr>
      <w:ind w:left="851"/>
    </w:pPr>
  </w:style>
  <w:style w:type="paragraph" w:styleId="ListNumber">
    <w:name w:val="List Number"/>
    <w:basedOn w:val="List"/>
    <w:rsid w:val="008F4110"/>
  </w:style>
  <w:style w:type="paragraph" w:styleId="List">
    <w:name w:val="List"/>
    <w:basedOn w:val="Normal"/>
    <w:rsid w:val="008F4110"/>
    <w:pPr>
      <w:ind w:left="568" w:hanging="284"/>
    </w:pPr>
  </w:style>
  <w:style w:type="paragraph" w:styleId="Header">
    <w:name w:val="header"/>
    <w:rsid w:val="008F41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F4110"/>
    <w:rPr>
      <w:b/>
      <w:bCs/>
      <w:position w:val="6"/>
      <w:sz w:val="16"/>
      <w:szCs w:val="16"/>
    </w:rPr>
  </w:style>
  <w:style w:type="paragraph" w:styleId="FootnoteText">
    <w:name w:val="footnote text"/>
    <w:basedOn w:val="Normal"/>
    <w:semiHidden/>
    <w:rsid w:val="008F4110"/>
    <w:pPr>
      <w:keepLines/>
      <w:spacing w:after="0"/>
      <w:ind w:left="454" w:hanging="454"/>
    </w:pPr>
    <w:rPr>
      <w:sz w:val="16"/>
      <w:szCs w:val="16"/>
    </w:rPr>
  </w:style>
  <w:style w:type="paragraph" w:customStyle="1" w:styleId="3GPPHeader">
    <w:name w:val="3GPP_Header"/>
    <w:basedOn w:val="Normal"/>
    <w:rsid w:val="008F4110"/>
    <w:pPr>
      <w:tabs>
        <w:tab w:val="left" w:pos="1701"/>
        <w:tab w:val="right" w:pos="9639"/>
      </w:tabs>
      <w:spacing w:after="240"/>
    </w:pPr>
    <w:rPr>
      <w:b/>
      <w:sz w:val="24"/>
    </w:rPr>
  </w:style>
  <w:style w:type="paragraph" w:styleId="TOC9">
    <w:name w:val="toc 9"/>
    <w:basedOn w:val="TOC8"/>
    <w:semiHidden/>
    <w:rsid w:val="008F4110"/>
    <w:pPr>
      <w:ind w:left="1418" w:hanging="1418"/>
    </w:pPr>
  </w:style>
  <w:style w:type="paragraph" w:styleId="TOC6">
    <w:name w:val="toc 6"/>
    <w:basedOn w:val="TOC5"/>
    <w:next w:val="Normal"/>
    <w:semiHidden/>
    <w:rsid w:val="008F4110"/>
    <w:pPr>
      <w:ind w:left="1985" w:hanging="1985"/>
    </w:pPr>
  </w:style>
  <w:style w:type="paragraph" w:styleId="TOC7">
    <w:name w:val="toc 7"/>
    <w:basedOn w:val="TOC6"/>
    <w:next w:val="Normal"/>
    <w:semiHidden/>
    <w:rsid w:val="008F4110"/>
    <w:pPr>
      <w:ind w:left="2268" w:hanging="2268"/>
    </w:pPr>
  </w:style>
  <w:style w:type="paragraph" w:styleId="ListBullet2">
    <w:name w:val="List Bullet 2"/>
    <w:basedOn w:val="ListBullet"/>
    <w:rsid w:val="008F4110"/>
    <w:pPr>
      <w:numPr>
        <w:numId w:val="6"/>
      </w:numPr>
    </w:pPr>
  </w:style>
  <w:style w:type="paragraph" w:styleId="ListBullet">
    <w:name w:val="List Bullet"/>
    <w:basedOn w:val="BodyText"/>
    <w:rsid w:val="008F4110"/>
    <w:pPr>
      <w:numPr>
        <w:numId w:val="5"/>
      </w:numPr>
    </w:pPr>
  </w:style>
  <w:style w:type="paragraph" w:styleId="ListBullet3">
    <w:name w:val="List Bullet 3"/>
    <w:basedOn w:val="ListBullet2"/>
    <w:rsid w:val="008F4110"/>
    <w:pPr>
      <w:numPr>
        <w:numId w:val="7"/>
      </w:numPr>
    </w:pPr>
  </w:style>
  <w:style w:type="paragraph" w:customStyle="1" w:styleId="EQ">
    <w:name w:val="EQ"/>
    <w:basedOn w:val="Normal"/>
    <w:next w:val="Normal"/>
    <w:rsid w:val="008F4110"/>
    <w:pPr>
      <w:keepLines/>
      <w:tabs>
        <w:tab w:val="center" w:pos="4536"/>
        <w:tab w:val="right" w:pos="9072"/>
      </w:tabs>
      <w:spacing w:after="180"/>
      <w:jc w:val="left"/>
    </w:pPr>
    <w:rPr>
      <w:noProof/>
      <w:lang w:eastAsia="en-US"/>
    </w:rPr>
  </w:style>
  <w:style w:type="paragraph" w:styleId="List2">
    <w:name w:val="List 2"/>
    <w:basedOn w:val="List"/>
    <w:rsid w:val="008F4110"/>
    <w:pPr>
      <w:ind w:left="851"/>
    </w:pPr>
  </w:style>
  <w:style w:type="paragraph" w:styleId="List3">
    <w:name w:val="List 3"/>
    <w:basedOn w:val="List2"/>
    <w:rsid w:val="008F4110"/>
    <w:pPr>
      <w:ind w:left="1135"/>
    </w:pPr>
  </w:style>
  <w:style w:type="paragraph" w:styleId="List4">
    <w:name w:val="List 4"/>
    <w:basedOn w:val="List3"/>
    <w:rsid w:val="008F4110"/>
    <w:pPr>
      <w:ind w:left="1418"/>
    </w:pPr>
  </w:style>
  <w:style w:type="paragraph" w:styleId="List5">
    <w:name w:val="List 5"/>
    <w:basedOn w:val="List4"/>
    <w:rsid w:val="008F4110"/>
    <w:pPr>
      <w:ind w:left="1702"/>
    </w:pPr>
  </w:style>
  <w:style w:type="paragraph" w:customStyle="1" w:styleId="EditorsNote">
    <w:name w:val="Editor's Note"/>
    <w:basedOn w:val="Normal"/>
    <w:rsid w:val="008F4110"/>
    <w:pPr>
      <w:keepLines/>
      <w:spacing w:after="180"/>
      <w:ind w:left="1135" w:hanging="851"/>
      <w:jc w:val="left"/>
    </w:pPr>
    <w:rPr>
      <w:color w:val="FF0000"/>
      <w:lang w:eastAsia="en-US"/>
    </w:rPr>
  </w:style>
  <w:style w:type="paragraph" w:styleId="ListBullet4">
    <w:name w:val="List Bullet 4"/>
    <w:basedOn w:val="ListBullet3"/>
    <w:rsid w:val="008F4110"/>
    <w:pPr>
      <w:numPr>
        <w:numId w:val="8"/>
      </w:numPr>
    </w:pPr>
  </w:style>
  <w:style w:type="paragraph" w:styleId="ListBullet5">
    <w:name w:val="List Bullet 5"/>
    <w:basedOn w:val="ListBullet4"/>
    <w:rsid w:val="008F4110"/>
    <w:pPr>
      <w:numPr>
        <w:numId w:val="4"/>
      </w:numPr>
    </w:pPr>
  </w:style>
  <w:style w:type="paragraph" w:styleId="Footer">
    <w:name w:val="footer"/>
    <w:basedOn w:val="Header"/>
    <w:semiHidden/>
    <w:rsid w:val="008F4110"/>
    <w:pPr>
      <w:jc w:val="center"/>
    </w:pPr>
    <w:rPr>
      <w:i/>
      <w:iCs/>
    </w:rPr>
  </w:style>
  <w:style w:type="paragraph" w:customStyle="1" w:styleId="Reference">
    <w:name w:val="Reference"/>
    <w:basedOn w:val="Normal"/>
    <w:rsid w:val="008F4110"/>
    <w:pPr>
      <w:numPr>
        <w:numId w:val="2"/>
      </w:numPr>
    </w:pPr>
  </w:style>
  <w:style w:type="paragraph" w:styleId="BalloonText">
    <w:name w:val="Balloon Text"/>
    <w:basedOn w:val="Normal"/>
    <w:semiHidden/>
    <w:rsid w:val="008F4110"/>
    <w:rPr>
      <w:rFonts w:ascii="Tahoma" w:hAnsi="Tahoma" w:cs="Tahoma"/>
      <w:sz w:val="16"/>
      <w:szCs w:val="16"/>
    </w:rPr>
  </w:style>
  <w:style w:type="character" w:styleId="PageNumber">
    <w:name w:val="page number"/>
    <w:basedOn w:val="DefaultParagraphFont"/>
    <w:semiHidden/>
    <w:rsid w:val="008F4110"/>
  </w:style>
  <w:style w:type="paragraph" w:styleId="BodyText">
    <w:name w:val="Body Text"/>
    <w:basedOn w:val="Normal"/>
    <w:link w:val="BodyTextChar"/>
    <w:rsid w:val="008F4110"/>
  </w:style>
  <w:style w:type="character" w:styleId="Hyperlink">
    <w:name w:val="Hyperlink"/>
    <w:uiPriority w:val="99"/>
    <w:rsid w:val="008F4110"/>
    <w:rPr>
      <w:color w:val="0000FF"/>
      <w:u w:val="single"/>
      <w:lang w:val="en-GB"/>
    </w:rPr>
  </w:style>
  <w:style w:type="character" w:styleId="FollowedHyperlink">
    <w:name w:val="FollowedHyperlink"/>
    <w:semiHidden/>
    <w:rsid w:val="008F4110"/>
    <w:rPr>
      <w:color w:val="FF0000"/>
      <w:u w:val="single"/>
    </w:rPr>
  </w:style>
  <w:style w:type="character" w:styleId="CommentReference">
    <w:name w:val="annotation reference"/>
    <w:semiHidden/>
    <w:rsid w:val="008F4110"/>
    <w:rPr>
      <w:sz w:val="16"/>
      <w:szCs w:val="16"/>
    </w:rPr>
  </w:style>
  <w:style w:type="paragraph" w:styleId="CommentText">
    <w:name w:val="annotation text"/>
    <w:basedOn w:val="Normal"/>
    <w:semiHidden/>
    <w:rsid w:val="008F4110"/>
  </w:style>
  <w:style w:type="paragraph" w:styleId="CommentSubject">
    <w:name w:val="annotation subject"/>
    <w:basedOn w:val="CommentText"/>
    <w:next w:val="CommentText"/>
    <w:semiHidden/>
    <w:rsid w:val="008F4110"/>
    <w:rPr>
      <w:b/>
      <w:bCs/>
    </w:rPr>
  </w:style>
  <w:style w:type="character" w:customStyle="1" w:styleId="Heading1Char">
    <w:name w:val="Heading 1 Char"/>
    <w:link w:val="Heading1"/>
    <w:rsid w:val="008F4110"/>
    <w:rPr>
      <w:rFonts w:ascii="Arial" w:hAnsi="Arial" w:cs="Arial"/>
      <w:sz w:val="36"/>
      <w:szCs w:val="36"/>
      <w:lang w:val="en-GB" w:eastAsia="zh-CN"/>
    </w:rPr>
  </w:style>
  <w:style w:type="paragraph" w:customStyle="1" w:styleId="B1">
    <w:name w:val="B1"/>
    <w:basedOn w:val="List"/>
    <w:rsid w:val="008F4110"/>
    <w:pPr>
      <w:spacing w:after="180"/>
      <w:jc w:val="left"/>
    </w:pPr>
    <w:rPr>
      <w:lang w:eastAsia="en-US"/>
    </w:rPr>
  </w:style>
  <w:style w:type="paragraph" w:customStyle="1" w:styleId="B2">
    <w:name w:val="B2"/>
    <w:basedOn w:val="List2"/>
    <w:rsid w:val="008F4110"/>
    <w:pPr>
      <w:spacing w:after="180"/>
      <w:jc w:val="left"/>
    </w:pPr>
    <w:rPr>
      <w:lang w:eastAsia="en-US"/>
    </w:rPr>
  </w:style>
  <w:style w:type="paragraph" w:customStyle="1" w:styleId="B3">
    <w:name w:val="B3"/>
    <w:basedOn w:val="List3"/>
    <w:rsid w:val="008F4110"/>
    <w:pPr>
      <w:spacing w:after="180"/>
      <w:jc w:val="left"/>
    </w:pPr>
    <w:rPr>
      <w:lang w:eastAsia="en-US"/>
    </w:rPr>
  </w:style>
  <w:style w:type="paragraph" w:customStyle="1" w:styleId="B4">
    <w:name w:val="B4"/>
    <w:basedOn w:val="List4"/>
    <w:rsid w:val="008F4110"/>
    <w:pPr>
      <w:spacing w:after="180"/>
      <w:jc w:val="left"/>
    </w:pPr>
    <w:rPr>
      <w:lang w:eastAsia="en-US"/>
    </w:rPr>
  </w:style>
  <w:style w:type="paragraph" w:customStyle="1" w:styleId="Proposal">
    <w:name w:val="Proposal"/>
    <w:basedOn w:val="Normal"/>
    <w:rsid w:val="008F4110"/>
    <w:pPr>
      <w:numPr>
        <w:numId w:val="3"/>
      </w:numPr>
      <w:tabs>
        <w:tab w:val="clear" w:pos="1304"/>
        <w:tab w:val="left" w:pos="1701"/>
      </w:tabs>
      <w:ind w:left="1701" w:hanging="1701"/>
    </w:pPr>
    <w:rPr>
      <w:b/>
      <w:bCs/>
    </w:rPr>
  </w:style>
  <w:style w:type="character" w:customStyle="1" w:styleId="BodyTextChar">
    <w:name w:val="Body Text Char"/>
    <w:link w:val="BodyText"/>
    <w:rsid w:val="008F4110"/>
    <w:rPr>
      <w:rFonts w:ascii="Arial" w:hAnsi="Arial"/>
      <w:lang w:val="en-GB" w:eastAsia="zh-CN"/>
    </w:rPr>
  </w:style>
  <w:style w:type="paragraph" w:customStyle="1" w:styleId="B5">
    <w:name w:val="B5"/>
    <w:basedOn w:val="List5"/>
    <w:rsid w:val="008F4110"/>
    <w:pPr>
      <w:spacing w:after="180"/>
      <w:jc w:val="left"/>
    </w:pPr>
    <w:rPr>
      <w:lang w:eastAsia="en-US"/>
    </w:rPr>
  </w:style>
  <w:style w:type="paragraph" w:customStyle="1" w:styleId="EX">
    <w:name w:val="EX"/>
    <w:basedOn w:val="Normal"/>
    <w:rsid w:val="008F4110"/>
    <w:pPr>
      <w:keepLines/>
      <w:spacing w:after="180"/>
      <w:ind w:left="1702" w:hanging="1418"/>
      <w:jc w:val="left"/>
    </w:pPr>
    <w:rPr>
      <w:lang w:eastAsia="en-US"/>
    </w:rPr>
  </w:style>
  <w:style w:type="paragraph" w:customStyle="1" w:styleId="EW">
    <w:name w:val="EW"/>
    <w:basedOn w:val="EX"/>
    <w:rsid w:val="008F4110"/>
    <w:pPr>
      <w:spacing w:after="0"/>
    </w:pPr>
  </w:style>
  <w:style w:type="paragraph" w:customStyle="1" w:styleId="TAL">
    <w:name w:val="TAL"/>
    <w:basedOn w:val="Normal"/>
    <w:rsid w:val="008F4110"/>
    <w:pPr>
      <w:keepNext/>
      <w:keepLines/>
      <w:spacing w:after="0"/>
      <w:jc w:val="left"/>
    </w:pPr>
    <w:rPr>
      <w:sz w:val="18"/>
      <w:lang w:eastAsia="en-US"/>
    </w:rPr>
  </w:style>
  <w:style w:type="paragraph" w:customStyle="1" w:styleId="TAC">
    <w:name w:val="TAC"/>
    <w:basedOn w:val="TAL"/>
    <w:rsid w:val="008F4110"/>
    <w:pPr>
      <w:jc w:val="center"/>
    </w:pPr>
  </w:style>
  <w:style w:type="paragraph" w:customStyle="1" w:styleId="TAH">
    <w:name w:val="TAH"/>
    <w:basedOn w:val="TAC"/>
    <w:rsid w:val="008F4110"/>
    <w:rPr>
      <w:b/>
    </w:rPr>
  </w:style>
  <w:style w:type="paragraph" w:customStyle="1" w:styleId="TAN">
    <w:name w:val="TAN"/>
    <w:basedOn w:val="TAL"/>
    <w:rsid w:val="008F4110"/>
    <w:pPr>
      <w:ind w:left="851" w:hanging="851"/>
    </w:pPr>
  </w:style>
  <w:style w:type="paragraph" w:customStyle="1" w:styleId="TAR">
    <w:name w:val="TAR"/>
    <w:basedOn w:val="TAL"/>
    <w:rsid w:val="008F4110"/>
    <w:pPr>
      <w:jc w:val="right"/>
    </w:pPr>
  </w:style>
  <w:style w:type="paragraph" w:customStyle="1" w:styleId="TH">
    <w:name w:val="TH"/>
    <w:basedOn w:val="Normal"/>
    <w:rsid w:val="008F4110"/>
    <w:pPr>
      <w:keepNext/>
      <w:keepLines/>
      <w:spacing w:before="60" w:after="180"/>
      <w:jc w:val="center"/>
    </w:pPr>
    <w:rPr>
      <w:b/>
      <w:lang w:eastAsia="en-US"/>
    </w:rPr>
  </w:style>
  <w:style w:type="paragraph" w:customStyle="1" w:styleId="TF">
    <w:name w:val="TF"/>
    <w:basedOn w:val="TH"/>
    <w:rsid w:val="008F4110"/>
    <w:pPr>
      <w:keepNext w:val="0"/>
      <w:spacing w:before="0" w:after="240"/>
    </w:pPr>
  </w:style>
  <w:style w:type="paragraph" w:customStyle="1" w:styleId="TT">
    <w:name w:val="TT"/>
    <w:basedOn w:val="Heading1"/>
    <w:next w:val="Normal"/>
    <w:rsid w:val="008F4110"/>
    <w:pPr>
      <w:numPr>
        <w:numId w:val="0"/>
      </w:numPr>
      <w:ind w:left="1134" w:hanging="1134"/>
      <w:outlineLvl w:val="9"/>
    </w:pPr>
    <w:rPr>
      <w:rFonts w:cs="Times New Roman"/>
      <w:szCs w:val="20"/>
      <w:lang w:eastAsia="en-US"/>
    </w:rPr>
  </w:style>
  <w:style w:type="paragraph" w:customStyle="1" w:styleId="ZA">
    <w:name w:val="ZA"/>
    <w:rsid w:val="008F41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41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41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F41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F4110"/>
  </w:style>
  <w:style w:type="paragraph" w:customStyle="1" w:styleId="ZH">
    <w:name w:val="ZH"/>
    <w:rsid w:val="008F41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F41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F4110"/>
    <w:pPr>
      <w:framePr w:hRule="auto" w:wrap="notBeside" w:y="852"/>
    </w:pPr>
    <w:rPr>
      <w:i w:val="0"/>
      <w:sz w:val="40"/>
    </w:rPr>
  </w:style>
  <w:style w:type="paragraph" w:customStyle="1" w:styleId="ZU">
    <w:name w:val="ZU"/>
    <w:rsid w:val="008F41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4110"/>
    <w:pPr>
      <w:framePr w:wrap="notBeside" w:y="16161"/>
    </w:pPr>
  </w:style>
  <w:style w:type="paragraph" w:customStyle="1" w:styleId="FP">
    <w:name w:val="FP"/>
    <w:basedOn w:val="Normal"/>
    <w:rsid w:val="008F4110"/>
    <w:pPr>
      <w:spacing w:after="0"/>
      <w:jc w:val="left"/>
    </w:pPr>
    <w:rPr>
      <w:lang w:eastAsia="en-US"/>
    </w:rPr>
  </w:style>
  <w:style w:type="paragraph" w:customStyle="1" w:styleId="Observation">
    <w:name w:val="Observation"/>
    <w:basedOn w:val="Proposal"/>
    <w:qFormat/>
    <w:rsid w:val="008F4110"/>
    <w:pPr>
      <w:numPr>
        <w:numId w:val="13"/>
      </w:numPr>
      <w:ind w:left="1701" w:hanging="1701"/>
    </w:pPr>
  </w:style>
  <w:style w:type="paragraph" w:styleId="TableofFigures">
    <w:name w:val="table of figures"/>
    <w:basedOn w:val="Normal"/>
    <w:next w:val="Normal"/>
    <w:uiPriority w:val="99"/>
    <w:rsid w:val="008F4110"/>
    <w:pPr>
      <w:ind w:left="1418" w:hanging="1418"/>
      <w:jc w:val="left"/>
    </w:pPr>
    <w:rPr>
      <w:b/>
    </w:rPr>
  </w:style>
  <w:style w:type="paragraph" w:customStyle="1" w:styleId="Doc-text2">
    <w:name w:val="Doc-text2"/>
    <w:basedOn w:val="Normal"/>
    <w:link w:val="Doc-text2Char"/>
    <w:qFormat/>
    <w:rsid w:val="008F411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F4110"/>
    <w:rPr>
      <w:rFonts w:ascii="Arial" w:eastAsia="MS Mincho" w:hAnsi="Arial"/>
      <w:szCs w:val="24"/>
      <w:lang w:val="en-GB" w:eastAsia="en-GB"/>
    </w:rPr>
  </w:style>
  <w:style w:type="paragraph" w:styleId="ListParagraph">
    <w:name w:val="List Paragraph"/>
    <w:basedOn w:val="Normal"/>
    <w:link w:val="ListParagraphChar"/>
    <w:uiPriority w:val="34"/>
    <w:qFormat/>
    <w:rsid w:val="000120F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link w:val="ListParagraph"/>
    <w:uiPriority w:val="34"/>
    <w:locked/>
    <w:rsid w:val="000120F0"/>
    <w:rPr>
      <w:rFonts w:asciiTheme="minorHAnsi" w:eastAsiaTheme="minorHAnsi" w:hAnsiTheme="minorHAnsi" w:cstheme="minorBidi"/>
      <w:sz w:val="22"/>
      <w:szCs w:val="22"/>
      <w:lang w:val="sv-SE"/>
    </w:rPr>
  </w:style>
  <w:style w:type="paragraph" w:styleId="NormalWeb">
    <w:name w:val="Normal (Web)"/>
    <w:basedOn w:val="Normal"/>
    <w:uiPriority w:val="99"/>
    <w:unhideWhenUsed/>
    <w:rsid w:val="00AA4A1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RAN1bullet1">
    <w:name w:val="RAN1 bullet1"/>
    <w:basedOn w:val="Normal"/>
    <w:qFormat/>
    <w:rsid w:val="0024464E"/>
    <w:pPr>
      <w:numPr>
        <w:numId w:val="17"/>
      </w:numPr>
      <w:overflowPunct/>
      <w:autoSpaceDE/>
      <w:autoSpaceDN/>
      <w:adjustRightInd/>
      <w:spacing w:after="0"/>
      <w:jc w:val="left"/>
      <w:textAlignment w:val="auto"/>
    </w:pPr>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5NUHHDQN7SK2-1476151046-17380</_dlc_DocId>
    <_dlc_DocIdUrl xmlns="f166a696-7b5b-4ccd-9f0c-ffde0cceec81">
      <Url>https://ericsson.sharepoint.com/sites/star/_layouts/15/DocIdRedir.aspx?ID=5NUHHDQN7SK2-1476151046-17380</Url>
      <Description>5NUHHDQN7SK2-1476151046-17380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77C499F1-6060-4A1F-B27D-DDDDE571CF1F}">
  <ds:schemaRefs>
    <ds:schemaRef ds:uri="Microsoft.SharePoint.Taxonomy.ContentTypeSync"/>
  </ds:schemaRefs>
</ds:datastoreItem>
</file>

<file path=customXml/itemProps3.xml><?xml version="1.0" encoding="utf-8"?>
<ds:datastoreItem xmlns:ds="http://schemas.openxmlformats.org/officeDocument/2006/customXml" ds:itemID="{DEDABC10-071C-40C8-A3C6-38C021943B2B}">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C10CD080-81EC-4864-84D0-6FADC8EE2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DFDAF7C-C214-4045-A824-A601B89F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561</TotalTime>
  <Pages>4</Pages>
  <Words>1525</Words>
  <Characters>8084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Mats Folke</cp:lastModifiedBy>
  <cp:revision>33</cp:revision>
  <cp:lastPrinted>2008-01-31T16:09:00Z</cp:lastPrinted>
  <dcterms:created xsi:type="dcterms:W3CDTF">2018-02-06T13:53:00Z</dcterms:created>
  <dcterms:modified xsi:type="dcterms:W3CDTF">2018-02-15T13:22:00Z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4a1efc10-c57a-467d-b20b-297479cae464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